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BF1A0" w14:textId="027B5E0E" w:rsidR="00B279FB" w:rsidRDefault="00B279FB" w:rsidP="00F063CA"/>
    <w:p w14:paraId="7BF30EA0" w14:textId="7ABB4D6F" w:rsidR="009E2357" w:rsidRPr="00464C83" w:rsidRDefault="00E73BB4" w:rsidP="00E73BB4">
      <w:pPr>
        <w:pStyle w:val="Introduction"/>
      </w:pPr>
      <w:r w:rsidRPr="00464C83">
        <w:t xml:space="preserve">Congratulations on your National Endowment for the Arts Big Read award! </w:t>
      </w:r>
    </w:p>
    <w:tbl>
      <w:tblPr>
        <w:tblW w:w="10188" w:type="dxa"/>
        <w:tblBorders>
          <w:top w:val="nil"/>
          <w:left w:val="nil"/>
          <w:bottom w:val="nil"/>
          <w:right w:val="nil"/>
        </w:tblBorders>
        <w:tblLayout w:type="fixed"/>
        <w:tblLook w:val="0000" w:firstRow="0" w:lastRow="0" w:firstColumn="0" w:lastColumn="0" w:noHBand="0" w:noVBand="0"/>
      </w:tblPr>
      <w:tblGrid>
        <w:gridCol w:w="3032"/>
        <w:gridCol w:w="7156"/>
      </w:tblGrid>
      <w:tr w:rsidR="009E2357" w:rsidRPr="00464C83" w14:paraId="37D90AD4" w14:textId="77777777" w:rsidTr="050ABAF7">
        <w:trPr>
          <w:trHeight w:val="265"/>
        </w:trPr>
        <w:tc>
          <w:tcPr>
            <w:tcW w:w="3032" w:type="dxa"/>
            <w:vAlign w:val="center"/>
          </w:tcPr>
          <w:p w14:paraId="368515B9" w14:textId="77777777" w:rsidR="009E2357" w:rsidRPr="00464C83" w:rsidRDefault="009E2357" w:rsidP="00E22788">
            <w:r>
              <w:t>G</w:t>
            </w:r>
            <w:r w:rsidRPr="00464C83">
              <w:t xml:space="preserve">RANTEE </w:t>
            </w:r>
          </w:p>
        </w:tc>
        <w:tc>
          <w:tcPr>
            <w:tcW w:w="7156" w:type="dxa"/>
            <w:tcBorders>
              <w:bottom w:val="single" w:sz="4" w:space="0" w:color="auto"/>
            </w:tcBorders>
            <w:vAlign w:val="center"/>
          </w:tcPr>
          <w:p w14:paraId="2A9F2EF4" w14:textId="192791E3" w:rsidR="009E2357" w:rsidRPr="00464C83" w:rsidRDefault="0063541B" w:rsidP="00E22788">
            <w:r>
              <w:t>[</w:t>
            </w:r>
            <w:r w:rsidR="009B2D82">
              <w:t>Organization Name</w:t>
            </w:r>
            <w:r>
              <w:t>]</w:t>
            </w:r>
          </w:p>
        </w:tc>
      </w:tr>
      <w:tr w:rsidR="009E2357" w:rsidRPr="00464C83" w14:paraId="5F056B67" w14:textId="77777777" w:rsidTr="050ABAF7">
        <w:trPr>
          <w:trHeight w:val="232"/>
        </w:trPr>
        <w:tc>
          <w:tcPr>
            <w:tcW w:w="3032" w:type="dxa"/>
            <w:vAlign w:val="center"/>
          </w:tcPr>
          <w:p w14:paraId="1C8125BC" w14:textId="77777777" w:rsidR="009E2357" w:rsidRPr="00464C83" w:rsidRDefault="009E2357" w:rsidP="00E22788">
            <w:pPr>
              <w:rPr>
                <w:color w:val="auto"/>
              </w:rPr>
            </w:pPr>
          </w:p>
        </w:tc>
        <w:tc>
          <w:tcPr>
            <w:tcW w:w="7156" w:type="dxa"/>
            <w:tcBorders>
              <w:top w:val="single" w:sz="4" w:space="0" w:color="auto"/>
              <w:bottom w:val="single" w:sz="4" w:space="0" w:color="auto"/>
            </w:tcBorders>
            <w:vAlign w:val="center"/>
          </w:tcPr>
          <w:p w14:paraId="2191520C" w14:textId="1E147CCB" w:rsidR="009E2357" w:rsidRPr="00464C83" w:rsidRDefault="0063541B" w:rsidP="00E22788">
            <w:pPr>
              <w:rPr>
                <w:rFonts w:eastAsia="Times New Roman"/>
                <w:color w:val="000000"/>
              </w:rPr>
            </w:pPr>
            <w:r>
              <w:rPr>
                <w:rFonts w:eastAsia="Times New Roman"/>
                <w:color w:val="000000"/>
              </w:rPr>
              <w:t>[</w:t>
            </w:r>
            <w:r w:rsidR="009B2D82">
              <w:rPr>
                <w:rFonts w:eastAsia="Times New Roman"/>
                <w:color w:val="000000"/>
              </w:rPr>
              <w:t>Address</w:t>
            </w:r>
            <w:r>
              <w:rPr>
                <w:rFonts w:eastAsia="Times New Roman"/>
                <w:color w:val="000000"/>
              </w:rPr>
              <w:t>]</w:t>
            </w:r>
          </w:p>
        </w:tc>
      </w:tr>
      <w:tr w:rsidR="009E2357" w:rsidRPr="00464C83" w14:paraId="7BE537B1" w14:textId="77777777" w:rsidTr="050ABAF7">
        <w:trPr>
          <w:trHeight w:val="211"/>
        </w:trPr>
        <w:tc>
          <w:tcPr>
            <w:tcW w:w="3032" w:type="dxa"/>
            <w:vAlign w:val="center"/>
          </w:tcPr>
          <w:p w14:paraId="6DF62E79" w14:textId="6085CDB9" w:rsidR="009E2357" w:rsidRPr="00464C83" w:rsidRDefault="009E2357" w:rsidP="00E22788">
            <w:r>
              <w:t xml:space="preserve">UEI number </w:t>
            </w:r>
          </w:p>
        </w:tc>
        <w:tc>
          <w:tcPr>
            <w:tcW w:w="7156" w:type="dxa"/>
            <w:tcBorders>
              <w:top w:val="single" w:sz="4" w:space="0" w:color="auto"/>
              <w:bottom w:val="single" w:sz="4" w:space="0" w:color="auto"/>
            </w:tcBorders>
            <w:vAlign w:val="center"/>
          </w:tcPr>
          <w:p w14:paraId="1861D2EB" w14:textId="5221754D" w:rsidR="009E2357" w:rsidRPr="00464C83" w:rsidRDefault="0063541B" w:rsidP="00E22788">
            <w:r>
              <w:t>[</w:t>
            </w:r>
            <w:proofErr w:type="spellStart"/>
            <w:r>
              <w:t>xxxxxxxxx</w:t>
            </w:r>
            <w:proofErr w:type="spellEnd"/>
            <w:r>
              <w:t>]</w:t>
            </w:r>
          </w:p>
        </w:tc>
      </w:tr>
      <w:tr w:rsidR="009E2357" w:rsidRPr="00464C83" w14:paraId="0B1FB38C" w14:textId="77777777" w:rsidTr="050ABAF7">
        <w:trPr>
          <w:trHeight w:val="225"/>
        </w:trPr>
        <w:tc>
          <w:tcPr>
            <w:tcW w:w="3032" w:type="dxa"/>
            <w:vAlign w:val="center"/>
          </w:tcPr>
          <w:p w14:paraId="23967597" w14:textId="77777777" w:rsidR="009E2357" w:rsidRPr="00464C83" w:rsidRDefault="009E2357" w:rsidP="00E22788">
            <w:r w:rsidRPr="00464C83">
              <w:t xml:space="preserve">Name for publicity purposes </w:t>
            </w:r>
          </w:p>
        </w:tc>
        <w:tc>
          <w:tcPr>
            <w:tcW w:w="7156" w:type="dxa"/>
            <w:tcBorders>
              <w:top w:val="single" w:sz="4" w:space="0" w:color="auto"/>
              <w:bottom w:val="single" w:sz="4" w:space="0" w:color="auto"/>
            </w:tcBorders>
            <w:vAlign w:val="center"/>
          </w:tcPr>
          <w:p w14:paraId="5E29F819" w14:textId="11590F6A" w:rsidR="009E2357" w:rsidRPr="00464C83" w:rsidRDefault="009E2357" w:rsidP="00E22788"/>
        </w:tc>
      </w:tr>
      <w:tr w:rsidR="009E2357" w:rsidRPr="00464C83" w14:paraId="25F7074F" w14:textId="77777777" w:rsidTr="050ABAF7">
        <w:trPr>
          <w:trHeight w:val="206"/>
        </w:trPr>
        <w:tc>
          <w:tcPr>
            <w:tcW w:w="3032" w:type="dxa"/>
            <w:vAlign w:val="center"/>
          </w:tcPr>
          <w:p w14:paraId="5A37BAE1" w14:textId="77777777" w:rsidR="009E2357" w:rsidRPr="00464C83" w:rsidRDefault="009E2357" w:rsidP="00E22788">
            <w:r w:rsidRPr="00464C83">
              <w:t xml:space="preserve">Purpose </w:t>
            </w:r>
          </w:p>
        </w:tc>
        <w:tc>
          <w:tcPr>
            <w:tcW w:w="7156" w:type="dxa"/>
            <w:tcBorders>
              <w:top w:val="single" w:sz="4" w:space="0" w:color="auto"/>
              <w:bottom w:val="single" w:sz="4" w:space="0" w:color="auto"/>
            </w:tcBorders>
            <w:vAlign w:val="center"/>
          </w:tcPr>
          <w:p w14:paraId="27092C59" w14:textId="689DFF69" w:rsidR="009E2357" w:rsidRPr="00464C83" w:rsidRDefault="0063541B" w:rsidP="00E22788">
            <w:r>
              <w:t>[</w:t>
            </w:r>
            <w:r w:rsidR="009B2D82">
              <w:t>NEA Big Read</w:t>
            </w:r>
            <w:r>
              <w:t xml:space="preserve"> 2022-2023]</w:t>
            </w:r>
          </w:p>
        </w:tc>
      </w:tr>
      <w:tr w:rsidR="009E2357" w:rsidRPr="00464C83" w14:paraId="501D54B3" w14:textId="77777777" w:rsidTr="050ABAF7">
        <w:trPr>
          <w:trHeight w:val="201"/>
        </w:trPr>
        <w:tc>
          <w:tcPr>
            <w:tcW w:w="3032" w:type="dxa"/>
            <w:vAlign w:val="center"/>
          </w:tcPr>
          <w:p w14:paraId="10E0254A" w14:textId="77777777" w:rsidR="009E2357" w:rsidRPr="00464C83" w:rsidRDefault="009E2357" w:rsidP="00E22788">
            <w:r w:rsidRPr="00464C83">
              <w:t xml:space="preserve">Grant award </w:t>
            </w:r>
          </w:p>
        </w:tc>
        <w:tc>
          <w:tcPr>
            <w:tcW w:w="7156" w:type="dxa"/>
            <w:tcBorders>
              <w:top w:val="single" w:sz="4" w:space="0" w:color="auto"/>
              <w:bottom w:val="single" w:sz="4" w:space="0" w:color="auto"/>
            </w:tcBorders>
            <w:vAlign w:val="center"/>
          </w:tcPr>
          <w:p w14:paraId="02033538" w14:textId="105C4354" w:rsidR="009E2357" w:rsidRPr="00464C83" w:rsidRDefault="0063541B" w:rsidP="00E22788">
            <w:r>
              <w:t>[Award amount]</w:t>
            </w:r>
          </w:p>
        </w:tc>
      </w:tr>
      <w:tr w:rsidR="009E2357" w:rsidRPr="00464C83" w14:paraId="2F4744D9" w14:textId="77777777" w:rsidTr="050ABAF7">
        <w:trPr>
          <w:trHeight w:val="202"/>
        </w:trPr>
        <w:tc>
          <w:tcPr>
            <w:tcW w:w="3032" w:type="dxa"/>
            <w:vAlign w:val="center"/>
          </w:tcPr>
          <w:p w14:paraId="10472914" w14:textId="77777777" w:rsidR="009E2357" w:rsidRPr="00464C83" w:rsidRDefault="009E2357" w:rsidP="00E22788">
            <w:pPr>
              <w:rPr>
                <w:b/>
              </w:rPr>
            </w:pPr>
            <w:r w:rsidRPr="00464C83">
              <w:rPr>
                <w:b/>
              </w:rPr>
              <w:t xml:space="preserve">Case number </w:t>
            </w:r>
          </w:p>
        </w:tc>
        <w:tc>
          <w:tcPr>
            <w:tcW w:w="7156" w:type="dxa"/>
            <w:tcBorders>
              <w:top w:val="single" w:sz="4" w:space="0" w:color="auto"/>
              <w:bottom w:val="single" w:sz="4" w:space="0" w:color="auto"/>
            </w:tcBorders>
            <w:vAlign w:val="center"/>
          </w:tcPr>
          <w:p w14:paraId="14FFAAC7" w14:textId="3E8F9B5F" w:rsidR="009E2357" w:rsidRPr="00464C83" w:rsidRDefault="0063541B" w:rsidP="00E22788">
            <w:r>
              <w:t>[Number provided by Arts Midwest]</w:t>
            </w:r>
          </w:p>
        </w:tc>
      </w:tr>
      <w:tr w:rsidR="009E2357" w:rsidRPr="00464C83" w14:paraId="5562528A" w14:textId="77777777" w:rsidTr="050ABAF7">
        <w:trPr>
          <w:trHeight w:val="185"/>
        </w:trPr>
        <w:tc>
          <w:tcPr>
            <w:tcW w:w="3032" w:type="dxa"/>
            <w:vAlign w:val="center"/>
          </w:tcPr>
          <w:p w14:paraId="5C290748" w14:textId="77777777" w:rsidR="009E2357" w:rsidRPr="00464C83" w:rsidRDefault="009E2357" w:rsidP="00E22788">
            <w:r w:rsidRPr="00464C83">
              <w:t xml:space="preserve">Date of Agreement </w:t>
            </w:r>
          </w:p>
        </w:tc>
        <w:tc>
          <w:tcPr>
            <w:tcW w:w="7156" w:type="dxa"/>
            <w:tcBorders>
              <w:top w:val="single" w:sz="4" w:space="0" w:color="auto"/>
              <w:bottom w:val="single" w:sz="4" w:space="0" w:color="auto"/>
            </w:tcBorders>
            <w:vAlign w:val="center"/>
          </w:tcPr>
          <w:p w14:paraId="2D0935D1" w14:textId="26486BA6" w:rsidR="009E2357" w:rsidRPr="00464C83" w:rsidRDefault="0063541B" w:rsidP="00E22788">
            <w:r>
              <w:t>[Date]</w:t>
            </w:r>
          </w:p>
        </w:tc>
      </w:tr>
    </w:tbl>
    <w:p w14:paraId="38055A24" w14:textId="77777777" w:rsidR="009E2357" w:rsidRPr="00464C83" w:rsidRDefault="009E2357" w:rsidP="009E2357">
      <w:pPr>
        <w:pStyle w:val="CM14"/>
        <w:spacing w:after="255" w:line="248" w:lineRule="atLeast"/>
        <w:ind w:right="152"/>
        <w:rPr>
          <w:rFonts w:ascii="Merriweather" w:hAnsi="Merriweather" w:cs="Times New Roman"/>
          <w:sz w:val="22"/>
          <w:szCs w:val="22"/>
        </w:rPr>
      </w:pPr>
    </w:p>
    <w:p w14:paraId="3948D476" w14:textId="77777777" w:rsidR="009E2357" w:rsidRPr="0053274F" w:rsidRDefault="009E2357" w:rsidP="009E2357">
      <w:pPr>
        <w:pStyle w:val="Heading1"/>
      </w:pPr>
      <w:r w:rsidRPr="0053274F">
        <w:t xml:space="preserve">The program </w:t>
      </w:r>
    </w:p>
    <w:p w14:paraId="3A0B8391" w14:textId="77777777" w:rsidR="009E2357" w:rsidRPr="00464C83" w:rsidRDefault="009E2357" w:rsidP="009E2357">
      <w:r w:rsidRPr="00464C83">
        <w:t>The National Endowment for the Arts Big Read is a program of the National Endowment for the Arts in partnership with Arts Midwest designed to broaden our understanding of our world, our communities, and ourselves through the joy of sharing a good book.</w:t>
      </w:r>
    </w:p>
    <w:p w14:paraId="66C31D34" w14:textId="77777777" w:rsidR="009E2357" w:rsidRPr="0053274F" w:rsidRDefault="009E2357" w:rsidP="009E2357">
      <w:pPr>
        <w:pStyle w:val="Heading1"/>
      </w:pPr>
      <w:r w:rsidRPr="0053274F">
        <w:t>Arts Midwest</w:t>
      </w:r>
    </w:p>
    <w:p w14:paraId="66443153" w14:textId="69133021" w:rsidR="009E2357" w:rsidRPr="00323656" w:rsidRDefault="009E2357" w:rsidP="009E2357">
      <w:r w:rsidRPr="00464C83">
        <w:t>Arts Midwest will serve as your contact for all questions regarding the program and this Grant Agreement. Arts Midwest can be reached at 612.238.80</w:t>
      </w:r>
      <w:r w:rsidR="00CC46F0">
        <w:t>24</w:t>
      </w:r>
      <w:r w:rsidRPr="00464C83">
        <w:t xml:space="preserve"> or </w:t>
      </w:r>
      <w:hyperlink r:id="rId11" w:history="1">
        <w:r w:rsidRPr="00CC6CBB">
          <w:rPr>
            <w:rStyle w:val="Hyperlink"/>
            <w:rFonts w:cs="Times New Roman"/>
          </w:rPr>
          <w:t>neabigread@artsmidwest.org</w:t>
        </w:r>
      </w:hyperlink>
      <w:r w:rsidRPr="00464C83">
        <w:t xml:space="preserve">. Our offices are based in Minneapolis, Minnesota and our hours of operation are 9am – 5pm Central time. We have a dedicated team of </w:t>
      </w:r>
      <w:r>
        <w:t xml:space="preserve">individuals </w:t>
      </w:r>
      <w:r w:rsidRPr="00464C83">
        <w:t>available to respond to your questions and available to assist you in a timely manner.</w:t>
      </w:r>
    </w:p>
    <w:p w14:paraId="61252A65" w14:textId="071D8FF8" w:rsidR="009E2357" w:rsidRPr="00464C83" w:rsidRDefault="009E2357" w:rsidP="009E2357">
      <w:r w:rsidRPr="00464C83">
        <w:t xml:space="preserve">This Agreement, by and between Arts Midwest on behalf of the National Endowment for the Arts and </w:t>
      </w:r>
      <w:r w:rsidR="0063541B">
        <w:rPr>
          <w:b/>
          <w:shd w:val="clear" w:color="auto" w:fill="FFFFFF"/>
        </w:rPr>
        <w:t>[Organization Name]</w:t>
      </w:r>
      <w:r w:rsidRPr="00464C83">
        <w:rPr>
          <w:b/>
          <w:shd w:val="clear" w:color="auto" w:fill="FFFFFF"/>
        </w:rPr>
        <w:t xml:space="preserve"> </w:t>
      </w:r>
      <w:r w:rsidRPr="00464C83">
        <w:rPr>
          <w:shd w:val="clear" w:color="auto" w:fill="FFFFFF"/>
        </w:rPr>
        <w:t>listed above, hereinafter referred to as</w:t>
      </w:r>
      <w:r w:rsidRPr="00464C83">
        <w:rPr>
          <w:b/>
          <w:shd w:val="clear" w:color="auto" w:fill="FFFFFF"/>
        </w:rPr>
        <w:t xml:space="preserve"> </w:t>
      </w:r>
      <w:r w:rsidRPr="00CC6CBB">
        <w:rPr>
          <w:b/>
          <w:bCs/>
        </w:rPr>
        <w:t>GRANTEE</w:t>
      </w:r>
      <w:r w:rsidRPr="00464C83">
        <w:t>, is subject to the following terms and conditions.</w:t>
      </w:r>
    </w:p>
    <w:p w14:paraId="44570A97" w14:textId="77777777" w:rsidR="00384A53" w:rsidRDefault="00384A53" w:rsidP="009E2357">
      <w:pPr>
        <w:pStyle w:val="Heading1"/>
      </w:pPr>
    </w:p>
    <w:p w14:paraId="1B2D725B" w14:textId="77777777" w:rsidR="00384A53" w:rsidRDefault="00384A53" w:rsidP="009E2357">
      <w:pPr>
        <w:pStyle w:val="Heading1"/>
      </w:pPr>
    </w:p>
    <w:p w14:paraId="69D85E73" w14:textId="5A3E180C" w:rsidR="009E2357" w:rsidRPr="0053274F" w:rsidRDefault="009E2357" w:rsidP="009E2357">
      <w:pPr>
        <w:pStyle w:val="Heading1"/>
      </w:pPr>
      <w:r w:rsidRPr="0053274F">
        <w:lastRenderedPageBreak/>
        <w:t xml:space="preserve">Grant award </w:t>
      </w:r>
    </w:p>
    <w:p w14:paraId="2CAC41FD" w14:textId="191794C7" w:rsidR="009E2357" w:rsidRPr="00464C83" w:rsidRDefault="009E2357" w:rsidP="009E2357">
      <w:r w:rsidRPr="00464C83">
        <w:t xml:space="preserve">Your grant award from Arts Midwest, on behalf of the National Endowment for the Arts, is </w:t>
      </w:r>
      <w:r w:rsidR="00384A53">
        <w:t>[</w:t>
      </w:r>
      <w:r w:rsidRPr="009E2357">
        <w:t>GRANT_AWARD</w:t>
      </w:r>
      <w:r w:rsidR="00384A53">
        <w:t>].</w:t>
      </w:r>
      <w:r w:rsidRPr="00464C83">
        <w:t xml:space="preserve"> </w:t>
      </w:r>
    </w:p>
    <w:p w14:paraId="70A48551" w14:textId="77777777" w:rsidR="0038024D" w:rsidRDefault="009E2357" w:rsidP="009E2357">
      <w:pPr>
        <w:rPr>
          <w:rFonts w:cs="Times New Roman"/>
          <w:color w:val="727174" w:themeColor="text2"/>
        </w:rPr>
      </w:pPr>
      <w:r w:rsidRPr="00464C83">
        <w:t xml:space="preserve">This award must be used towards the expenses incurred as part of </w:t>
      </w:r>
      <w:r w:rsidRPr="00CC6CBB">
        <w:rPr>
          <w:b/>
          <w:bCs/>
        </w:rPr>
        <w:t>GRANTEE</w:t>
      </w:r>
      <w:r w:rsidRPr="00464C83">
        <w:t>’s NEA Big Read programming. These expenses may include artist fees, book purchases, staff salaries and benefits, and other expenses.</w:t>
      </w:r>
      <w:r w:rsidR="00A33478">
        <w:t xml:space="preserve"> </w:t>
      </w:r>
      <w:r w:rsidR="0038024D">
        <w:rPr>
          <w:rFonts w:cs="Times New Roman"/>
          <w:color w:val="727174" w:themeColor="text2"/>
        </w:rPr>
        <w:t>Federally negotiated indirect cost rates are allowable or a de minimis rate of 10% as outlined in 2 CFR 200.414 (Code of Federal Regulations).</w:t>
      </w:r>
    </w:p>
    <w:p w14:paraId="1011B1E1" w14:textId="3519E3F1" w:rsidR="00A33478" w:rsidRPr="00A33478" w:rsidRDefault="00E73BB4" w:rsidP="009E2357">
      <w:r w:rsidRPr="00B70021">
        <w:rPr>
          <w:rFonts w:cs="Times New Roman"/>
          <w:color w:val="727174" w:themeColor="text2"/>
        </w:rPr>
        <w:t xml:space="preserve">Unallowable expenses include fundraising, hospitality, meals, concessions, gifts for participants, or costs incurred prior to </w:t>
      </w:r>
      <w:r>
        <w:rPr>
          <w:rFonts w:cs="Times New Roman"/>
          <w:color w:val="727174" w:themeColor="text2"/>
        </w:rPr>
        <w:t xml:space="preserve">the execution of this </w:t>
      </w:r>
      <w:r w:rsidR="00B4711A">
        <w:rPr>
          <w:rFonts w:cs="Times New Roman"/>
          <w:color w:val="727174" w:themeColor="text2"/>
        </w:rPr>
        <w:t>Grant Agreement</w:t>
      </w:r>
      <w:r w:rsidRPr="00B70021">
        <w:rPr>
          <w:rFonts w:cs="Times New Roman"/>
          <w:color w:val="727174" w:themeColor="text2"/>
        </w:rPr>
        <w:t xml:space="preserve"> or after </w:t>
      </w:r>
      <w:r w:rsidR="00A33478">
        <w:rPr>
          <w:rFonts w:cs="Times New Roman"/>
          <w:color w:val="727174" w:themeColor="text2"/>
        </w:rPr>
        <w:t>June 30</w:t>
      </w:r>
      <w:r w:rsidRPr="00B70021">
        <w:rPr>
          <w:rFonts w:cs="Times New Roman"/>
          <w:color w:val="727174" w:themeColor="text2"/>
        </w:rPr>
        <w:t>, 202</w:t>
      </w:r>
      <w:r w:rsidR="00CC46F0">
        <w:rPr>
          <w:rFonts w:cs="Times New Roman"/>
          <w:color w:val="727174" w:themeColor="text2"/>
        </w:rPr>
        <w:t>3</w:t>
      </w:r>
      <w:r w:rsidRPr="00B70021">
        <w:rPr>
          <w:rFonts w:cs="Times New Roman"/>
          <w:color w:val="727174" w:themeColor="text2"/>
        </w:rPr>
        <w:t xml:space="preserve">. Reference the </w:t>
      </w:r>
      <w:r w:rsidR="00E97B11">
        <w:rPr>
          <w:rFonts w:cs="Times New Roman"/>
          <w:color w:val="727174" w:themeColor="text2"/>
        </w:rPr>
        <w:t xml:space="preserve">Attachment A: </w:t>
      </w:r>
      <w:r w:rsidRPr="00B70021">
        <w:rPr>
          <w:rFonts w:cs="Times New Roman"/>
          <w:color w:val="727174" w:themeColor="text2"/>
        </w:rPr>
        <w:t xml:space="preserve">Assurance of Compliance section 12 for more information on Cost Principles. </w:t>
      </w:r>
      <w:r w:rsidR="0038024D">
        <w:t>This award does not support research and development.</w:t>
      </w:r>
    </w:p>
    <w:p w14:paraId="61EF6553" w14:textId="5B8CB990" w:rsidR="009E2357" w:rsidRPr="00464C83" w:rsidRDefault="009E2357" w:rsidP="009E2357">
      <w:r w:rsidRPr="00464C83">
        <w:t>The award must be matched on a 1</w:t>
      </w:r>
      <w:r w:rsidR="00A33478">
        <w:t>-</w:t>
      </w:r>
      <w:r w:rsidRPr="00464C83">
        <w:t>to</w:t>
      </w:r>
      <w:r w:rsidR="00A33478">
        <w:t>-</w:t>
      </w:r>
      <w:r w:rsidRPr="00464C83">
        <w:t xml:space="preserve">1 basis with nonfederal funds. </w:t>
      </w:r>
      <w:r w:rsidR="00A33478" w:rsidRPr="00B70021">
        <w:rPr>
          <w:rFonts w:cs="Times New Roman"/>
          <w:color w:val="727174" w:themeColor="text2"/>
        </w:rPr>
        <w:t xml:space="preserve">Match refers to the portion of the project’s expenses not paid for by these federal revenues. This may include revenues from </w:t>
      </w:r>
      <w:r w:rsidR="00A33478">
        <w:rPr>
          <w:b/>
          <w:color w:val="727174" w:themeColor="text2"/>
        </w:rPr>
        <w:t>GRANTEE’S</w:t>
      </w:r>
      <w:r w:rsidR="00A33478" w:rsidRPr="00B70021">
        <w:rPr>
          <w:b/>
          <w:color w:val="727174" w:themeColor="text2"/>
        </w:rPr>
        <w:t xml:space="preserve"> </w:t>
      </w:r>
      <w:r w:rsidR="00A33478" w:rsidRPr="00B70021">
        <w:rPr>
          <w:rFonts w:cs="Times New Roman"/>
          <w:color w:val="727174" w:themeColor="text2"/>
        </w:rPr>
        <w:t xml:space="preserve">own funds, donations, other non-federal grants, or other revenues. </w:t>
      </w:r>
      <w:proofErr w:type="gramStart"/>
      <w:r w:rsidRPr="00464C83">
        <w:t>In order to</w:t>
      </w:r>
      <w:proofErr w:type="gramEnd"/>
      <w:r w:rsidRPr="00464C83">
        <w:t xml:space="preserve"> receive the full grant, </w:t>
      </w:r>
      <w:r w:rsidRPr="005F632E">
        <w:rPr>
          <w:b/>
          <w:bCs/>
        </w:rPr>
        <w:t>GRANTEE</w:t>
      </w:r>
      <w:r w:rsidRPr="00464C83">
        <w:t xml:space="preserve">'s total expenses as shown on your final report budget must be at least double the grant award amount. There can be no overlapping expenses between this grant and a grant received directly from the National Endowment for the Arts. </w:t>
      </w:r>
    </w:p>
    <w:p w14:paraId="380F07CE" w14:textId="77777777" w:rsidR="009E2357" w:rsidRPr="00464C83" w:rsidRDefault="009E2357" w:rsidP="009E2357">
      <w:pPr>
        <w:rPr>
          <w:color w:val="000000"/>
        </w:rPr>
      </w:pPr>
      <w:r w:rsidRPr="00464C83">
        <w:t>The following information is provided to comply with federal regulations.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5418"/>
      </w:tblGrid>
      <w:tr w:rsidR="009E2357" w:rsidRPr="00464C83" w14:paraId="1DE2253D" w14:textId="77777777" w:rsidTr="00E73BB4">
        <w:trPr>
          <w:trHeight w:val="377"/>
        </w:trPr>
        <w:tc>
          <w:tcPr>
            <w:tcW w:w="4050" w:type="dxa"/>
            <w:shd w:val="clear" w:color="auto" w:fill="auto"/>
          </w:tcPr>
          <w:p w14:paraId="33AB3DD5" w14:textId="77777777" w:rsidR="009E2357" w:rsidRPr="00D03C47" w:rsidRDefault="009E2357" w:rsidP="009E2357">
            <w:pPr>
              <w:pStyle w:val="NoSpacing"/>
            </w:pPr>
            <w:r w:rsidRPr="00D03C47">
              <w:t>Federal awarding agency</w:t>
            </w:r>
          </w:p>
        </w:tc>
        <w:tc>
          <w:tcPr>
            <w:tcW w:w="5418" w:type="dxa"/>
            <w:shd w:val="clear" w:color="auto" w:fill="auto"/>
          </w:tcPr>
          <w:p w14:paraId="4B6FDF9B" w14:textId="77777777" w:rsidR="009E2357" w:rsidRPr="00464C83" w:rsidRDefault="009E2357" w:rsidP="009E2357">
            <w:pPr>
              <w:pStyle w:val="NoSpacing"/>
            </w:pPr>
            <w:r w:rsidRPr="00464C83">
              <w:t>National Endowment for the Arts</w:t>
            </w:r>
          </w:p>
        </w:tc>
      </w:tr>
      <w:tr w:rsidR="009E2357" w:rsidRPr="00464C83" w14:paraId="560A4576" w14:textId="77777777" w:rsidTr="00005CF0">
        <w:tc>
          <w:tcPr>
            <w:tcW w:w="4050" w:type="dxa"/>
            <w:shd w:val="clear" w:color="auto" w:fill="auto"/>
          </w:tcPr>
          <w:p w14:paraId="07BB462B" w14:textId="77777777" w:rsidR="009E2357" w:rsidRPr="00D03C47" w:rsidRDefault="009E2357" w:rsidP="009E2357">
            <w:pPr>
              <w:pStyle w:val="NoSpacing"/>
            </w:pPr>
            <w:r w:rsidRPr="00D03C47">
              <w:t>CFDA #45.024</w:t>
            </w:r>
          </w:p>
        </w:tc>
        <w:tc>
          <w:tcPr>
            <w:tcW w:w="5418" w:type="dxa"/>
            <w:shd w:val="clear" w:color="auto" w:fill="auto"/>
          </w:tcPr>
          <w:p w14:paraId="367F8B28" w14:textId="77777777" w:rsidR="009E2357" w:rsidRPr="00464C83" w:rsidRDefault="009E2357" w:rsidP="009E2357">
            <w:pPr>
              <w:pStyle w:val="NoSpacing"/>
            </w:pPr>
            <w:r w:rsidRPr="00464C83">
              <w:t>Promotion of the Arts Grants to Organizations and Individuals</w:t>
            </w:r>
          </w:p>
        </w:tc>
      </w:tr>
      <w:tr w:rsidR="009E2357" w:rsidRPr="00464C83" w14:paraId="7BB147FE" w14:textId="77777777" w:rsidTr="009E2357">
        <w:trPr>
          <w:trHeight w:val="332"/>
        </w:trPr>
        <w:tc>
          <w:tcPr>
            <w:tcW w:w="4050" w:type="dxa"/>
            <w:shd w:val="clear" w:color="auto" w:fill="auto"/>
          </w:tcPr>
          <w:p w14:paraId="6317A817" w14:textId="77777777" w:rsidR="009E2357" w:rsidRPr="00D03C47" w:rsidRDefault="009E2357" w:rsidP="009E2357">
            <w:pPr>
              <w:pStyle w:val="NoSpacing"/>
            </w:pPr>
            <w:r w:rsidRPr="00D03C47">
              <w:t>Federal Award Identification Number</w:t>
            </w:r>
          </w:p>
        </w:tc>
        <w:tc>
          <w:tcPr>
            <w:tcW w:w="5418" w:type="dxa"/>
            <w:shd w:val="clear" w:color="auto" w:fill="auto"/>
          </w:tcPr>
          <w:p w14:paraId="1D986D99" w14:textId="77777777" w:rsidR="009E2357" w:rsidRPr="00464C83" w:rsidRDefault="009E2357" w:rsidP="009E2357">
            <w:pPr>
              <w:pStyle w:val="NoSpacing"/>
            </w:pPr>
            <w:r>
              <w:t>1866149-52-C-20</w:t>
            </w:r>
          </w:p>
        </w:tc>
      </w:tr>
      <w:tr w:rsidR="009E2357" w:rsidRPr="00464C83" w14:paraId="29CE5B9C" w14:textId="77777777" w:rsidTr="009E2357">
        <w:trPr>
          <w:trHeight w:val="332"/>
        </w:trPr>
        <w:tc>
          <w:tcPr>
            <w:tcW w:w="4050" w:type="dxa"/>
            <w:shd w:val="clear" w:color="auto" w:fill="auto"/>
          </w:tcPr>
          <w:p w14:paraId="5B23CB11" w14:textId="77777777" w:rsidR="009E2357" w:rsidRPr="00D03C47" w:rsidRDefault="009E2357" w:rsidP="009E2357">
            <w:pPr>
              <w:pStyle w:val="NoSpacing"/>
            </w:pPr>
            <w:r w:rsidRPr="00D03C47">
              <w:t>Federal award date</w:t>
            </w:r>
          </w:p>
        </w:tc>
        <w:tc>
          <w:tcPr>
            <w:tcW w:w="5418" w:type="dxa"/>
            <w:shd w:val="clear" w:color="auto" w:fill="auto"/>
          </w:tcPr>
          <w:p w14:paraId="07322551" w14:textId="77777777" w:rsidR="009E2357" w:rsidRPr="00464C83" w:rsidRDefault="009E2357" w:rsidP="009E2357">
            <w:pPr>
              <w:pStyle w:val="NoSpacing"/>
            </w:pPr>
            <w:r>
              <w:t>September 3</w:t>
            </w:r>
            <w:r w:rsidRPr="00464C83">
              <w:t>, 20</w:t>
            </w:r>
            <w:r>
              <w:t>20</w:t>
            </w:r>
          </w:p>
        </w:tc>
      </w:tr>
      <w:tr w:rsidR="0038024D" w:rsidRPr="00464C83" w14:paraId="65655582" w14:textId="77777777" w:rsidTr="009E2357">
        <w:trPr>
          <w:trHeight w:val="332"/>
        </w:trPr>
        <w:tc>
          <w:tcPr>
            <w:tcW w:w="4050" w:type="dxa"/>
            <w:shd w:val="clear" w:color="auto" w:fill="auto"/>
          </w:tcPr>
          <w:p w14:paraId="27567D72" w14:textId="683EB380" w:rsidR="0038024D" w:rsidRPr="00D03C47" w:rsidRDefault="0038024D" w:rsidP="0038024D">
            <w:pPr>
              <w:pStyle w:val="NoSpacing"/>
            </w:pPr>
            <w:r>
              <w:t>Federal award description</w:t>
            </w:r>
          </w:p>
        </w:tc>
        <w:tc>
          <w:tcPr>
            <w:tcW w:w="5418" w:type="dxa"/>
            <w:shd w:val="clear" w:color="auto" w:fill="auto"/>
          </w:tcPr>
          <w:p w14:paraId="3C175003" w14:textId="3E9C5B35" w:rsidR="0038024D" w:rsidRPr="0038024D" w:rsidRDefault="0038024D" w:rsidP="0038024D">
            <w:pPr>
              <w:pStyle w:val="NoSpacing"/>
            </w:pPr>
            <w:r w:rsidRPr="0038024D">
              <w:t>To support the planning and implementation of the National Endowment for the Arts Big Read program nationwide.</w:t>
            </w:r>
          </w:p>
        </w:tc>
      </w:tr>
      <w:tr w:rsidR="0038024D" w:rsidRPr="00464C83" w14:paraId="36A1C389" w14:textId="77777777" w:rsidTr="009E2357">
        <w:trPr>
          <w:trHeight w:val="368"/>
        </w:trPr>
        <w:tc>
          <w:tcPr>
            <w:tcW w:w="4050" w:type="dxa"/>
            <w:shd w:val="clear" w:color="auto" w:fill="auto"/>
          </w:tcPr>
          <w:p w14:paraId="18B22B54" w14:textId="5B8BCC21" w:rsidR="0038024D" w:rsidRPr="00D03C47" w:rsidRDefault="0038024D" w:rsidP="0038024D">
            <w:pPr>
              <w:pStyle w:val="NoSpacing"/>
            </w:pPr>
            <w:r>
              <w:t>Subaward period of performance</w:t>
            </w:r>
          </w:p>
        </w:tc>
        <w:tc>
          <w:tcPr>
            <w:tcW w:w="5418" w:type="dxa"/>
            <w:shd w:val="clear" w:color="auto" w:fill="auto"/>
          </w:tcPr>
          <w:p w14:paraId="0634E780" w14:textId="114046D9" w:rsidR="0038024D" w:rsidRPr="00464C83" w:rsidRDefault="0038024D" w:rsidP="0038024D">
            <w:pPr>
              <w:pStyle w:val="NoSpacing"/>
            </w:pPr>
            <w:r w:rsidRPr="00476969">
              <w:t>July 1, 202</w:t>
            </w:r>
            <w:r>
              <w:t>0</w:t>
            </w:r>
            <w:r w:rsidRPr="00476969">
              <w:t xml:space="preserve"> – </w:t>
            </w:r>
            <w:r>
              <w:t>October 31, 2023</w:t>
            </w:r>
          </w:p>
        </w:tc>
      </w:tr>
      <w:tr w:rsidR="0038024D" w:rsidRPr="00464C83" w14:paraId="4A2C8070" w14:textId="77777777" w:rsidTr="009E2357">
        <w:trPr>
          <w:trHeight w:val="368"/>
        </w:trPr>
        <w:tc>
          <w:tcPr>
            <w:tcW w:w="4050" w:type="dxa"/>
            <w:shd w:val="clear" w:color="auto" w:fill="auto"/>
          </w:tcPr>
          <w:p w14:paraId="6C9D3893" w14:textId="77777777" w:rsidR="0038024D" w:rsidRPr="00D03C47" w:rsidRDefault="0038024D" w:rsidP="0038024D">
            <w:pPr>
              <w:pStyle w:val="NoSpacing"/>
            </w:pPr>
            <w:r w:rsidRPr="00D03C47">
              <w:t>NEA award amount</w:t>
            </w:r>
          </w:p>
        </w:tc>
        <w:tc>
          <w:tcPr>
            <w:tcW w:w="5418" w:type="dxa"/>
            <w:shd w:val="clear" w:color="auto" w:fill="auto"/>
          </w:tcPr>
          <w:p w14:paraId="6690557D" w14:textId="77777777" w:rsidR="0038024D" w:rsidRPr="00464C83" w:rsidRDefault="0038024D" w:rsidP="0038024D">
            <w:pPr>
              <w:pStyle w:val="NoSpacing"/>
            </w:pPr>
            <w:r w:rsidRPr="00464C83">
              <w:t>$3,0</w:t>
            </w:r>
            <w:r>
              <w:t>1</w:t>
            </w:r>
            <w:r w:rsidRPr="00464C83">
              <w:t xml:space="preserve">4,000 </w:t>
            </w:r>
          </w:p>
        </w:tc>
      </w:tr>
      <w:tr w:rsidR="0038024D" w:rsidRPr="00464C83" w14:paraId="3CB8266D" w14:textId="77777777" w:rsidTr="00005CF0">
        <w:trPr>
          <w:trHeight w:val="548"/>
        </w:trPr>
        <w:tc>
          <w:tcPr>
            <w:tcW w:w="4050" w:type="dxa"/>
            <w:shd w:val="clear" w:color="auto" w:fill="auto"/>
          </w:tcPr>
          <w:p w14:paraId="28483556" w14:textId="77777777" w:rsidR="0038024D" w:rsidRPr="00D03C47" w:rsidRDefault="0038024D" w:rsidP="0038024D">
            <w:pPr>
              <w:pStyle w:val="NoSpacing"/>
            </w:pPr>
            <w:r w:rsidRPr="00D03C47">
              <w:t>Pass-through entity and contact information</w:t>
            </w:r>
          </w:p>
        </w:tc>
        <w:tc>
          <w:tcPr>
            <w:tcW w:w="5418" w:type="dxa"/>
            <w:shd w:val="clear" w:color="auto" w:fill="auto"/>
          </w:tcPr>
          <w:p w14:paraId="7532E640" w14:textId="479B0159" w:rsidR="0038024D" w:rsidRPr="00464C83" w:rsidRDefault="0038024D" w:rsidP="0038024D">
            <w:pPr>
              <w:pStyle w:val="NoSpacing"/>
            </w:pPr>
            <w:r w:rsidRPr="00464C83">
              <w:t xml:space="preserve">Arts Midwest, Joshua Feist, director of </w:t>
            </w:r>
            <w:r w:rsidR="00052B3B">
              <w:t>community support</w:t>
            </w:r>
            <w:r w:rsidRPr="00464C83">
              <w:t>, joshua@artsmidwest.org, 612.238.8054</w:t>
            </w:r>
          </w:p>
        </w:tc>
      </w:tr>
    </w:tbl>
    <w:p w14:paraId="7FA70321" w14:textId="77777777" w:rsidR="009E2357" w:rsidRPr="00464C83" w:rsidRDefault="009E2357" w:rsidP="009E2357">
      <w:r w:rsidRPr="00464C83">
        <w:br/>
      </w:r>
      <w:r w:rsidRPr="005F632E">
        <w:rPr>
          <w:b/>
          <w:bCs/>
        </w:rPr>
        <w:t>GRANTEE</w:t>
      </w:r>
      <w:r w:rsidRPr="00464C83">
        <w:t xml:space="preserve"> is expected to use the entire grant award amount to carry out a project that is consistent with the proposal that was approved for funding by Arts Midwest and the National Endowment for the Arts. Grant funds may not be returned to Arts Midwest without prior authorization.</w:t>
      </w:r>
    </w:p>
    <w:p w14:paraId="452FF988" w14:textId="77777777" w:rsidR="009E2357" w:rsidRPr="00464C83" w:rsidRDefault="009E2357" w:rsidP="009E2357">
      <w:r w:rsidRPr="00464C83">
        <w:t xml:space="preserve">If the award amount above is less than the amount requested in </w:t>
      </w:r>
      <w:r w:rsidRPr="005F632E">
        <w:rPr>
          <w:b/>
          <w:bCs/>
        </w:rPr>
        <w:t>GRANTEE</w:t>
      </w:r>
      <w:r w:rsidRPr="00464C83">
        <w:t xml:space="preserve">’s application, a revised budget based on the award amount is due to Arts Midwest before any funds can be issued. </w:t>
      </w:r>
    </w:p>
    <w:p w14:paraId="3263FD93" w14:textId="5AE5B651" w:rsidR="005F632E" w:rsidRDefault="009E2357" w:rsidP="00A33478">
      <w:r w:rsidRPr="00464C83">
        <w:lastRenderedPageBreak/>
        <w:t xml:space="preserve">If major changes are believed to be necessary, </w:t>
      </w:r>
      <w:r w:rsidRPr="005F632E">
        <w:rPr>
          <w:b/>
          <w:bCs/>
        </w:rPr>
        <w:t>GRANTEE</w:t>
      </w:r>
      <w:r w:rsidRPr="00464C83">
        <w:t xml:space="preserve"> must </w:t>
      </w:r>
      <w:r w:rsidR="005F632E">
        <w:t xml:space="preserve">refer to Attachment C of this </w:t>
      </w:r>
      <w:r w:rsidR="00B4711A">
        <w:t>A</w:t>
      </w:r>
      <w:r w:rsidR="005F632E">
        <w:t>greement for guidance.</w:t>
      </w:r>
    </w:p>
    <w:p w14:paraId="686D3DF0" w14:textId="69924471" w:rsidR="009E2357" w:rsidRPr="00A33478" w:rsidRDefault="009E2357" w:rsidP="00A33478">
      <w:r w:rsidRPr="00464C83">
        <w:t xml:space="preserve">Expenses can be </w:t>
      </w:r>
      <w:proofErr w:type="gramStart"/>
      <w:r w:rsidRPr="00464C83">
        <w:t>incurred</w:t>
      </w:r>
      <w:proofErr w:type="gramEnd"/>
      <w:r w:rsidRPr="00464C83">
        <w:t xml:space="preserve"> and an advance payment can be issued after this </w:t>
      </w:r>
      <w:r w:rsidR="00B4711A">
        <w:t>A</w:t>
      </w:r>
      <w:r w:rsidRPr="00464C83">
        <w:t xml:space="preserve">greement has been fully executed by Arts Midwest and </w:t>
      </w:r>
      <w:r w:rsidRPr="005F632E">
        <w:rPr>
          <w:b/>
          <w:bCs/>
        </w:rPr>
        <w:t>GRANTEE</w:t>
      </w:r>
      <w:r w:rsidRPr="00464C83">
        <w:t>.</w:t>
      </w:r>
    </w:p>
    <w:p w14:paraId="41EE0AF6" w14:textId="77777777" w:rsidR="009E2357" w:rsidRPr="00464C83" w:rsidRDefault="009E2357" w:rsidP="00E73BB4">
      <w:pPr>
        <w:pStyle w:val="Heading2"/>
      </w:pPr>
      <w:r w:rsidRPr="00843F27">
        <w:t>Grant</w:t>
      </w:r>
      <w:r w:rsidRPr="00464C83">
        <w:t xml:space="preserve"> </w:t>
      </w:r>
      <w:r w:rsidRPr="0053274F">
        <w:t>payments</w:t>
      </w:r>
    </w:p>
    <w:p w14:paraId="642752FC" w14:textId="732533F1" w:rsidR="009E2357" w:rsidRPr="00464C83" w:rsidRDefault="009E2357" w:rsidP="00E73BB4">
      <w:pPr>
        <w:pStyle w:val="NoSpacing"/>
      </w:pPr>
      <w:r w:rsidRPr="00464C83">
        <w:t xml:space="preserve">Arts Midwest will disburse this grant in two installments by check to </w:t>
      </w:r>
      <w:r w:rsidRPr="005F632E">
        <w:rPr>
          <w:b/>
          <w:bCs/>
        </w:rPr>
        <w:t>GRANTEE</w:t>
      </w:r>
      <w:r w:rsidRPr="00464C83">
        <w:t xml:space="preserve"> as follows: </w:t>
      </w:r>
      <w:r w:rsidR="00E73BB4">
        <w:br/>
      </w:r>
    </w:p>
    <w:p w14:paraId="53A782A9" w14:textId="38B358E8" w:rsidR="009E2357" w:rsidRPr="00464C83" w:rsidRDefault="009E2357" w:rsidP="00E73BB4">
      <w:pPr>
        <w:pStyle w:val="ListParagraph"/>
        <w:rPr>
          <w:rFonts w:eastAsia="Times New Roman"/>
          <w:color w:val="000000"/>
        </w:rPr>
      </w:pPr>
      <w:r w:rsidRPr="00464C83">
        <w:t xml:space="preserve">Program start payment will be sent to arrive on or </w:t>
      </w:r>
      <w:r w:rsidR="001B3263">
        <w:t>around</w:t>
      </w:r>
      <w:r w:rsidRPr="00464C83">
        <w:t xml:space="preserve"> the date of the first event as indicated on </w:t>
      </w:r>
      <w:r w:rsidRPr="005F632E">
        <w:rPr>
          <w:b/>
          <w:bCs/>
        </w:rPr>
        <w:t>GRANTEE</w:t>
      </w:r>
      <w:r w:rsidRPr="00464C83">
        <w:t xml:space="preserve">'s Engagements Listing (see Program Engagements Listing). Prior to issuing this payment, Arts Midwest must receive a revised budget (if applicable) and an updated list of engagements (see Reporting). </w:t>
      </w:r>
    </w:p>
    <w:p w14:paraId="5C4C6390" w14:textId="5366821D" w:rsidR="009E2357" w:rsidRPr="00464C83" w:rsidRDefault="009E2357" w:rsidP="00E73BB4">
      <w:pPr>
        <w:pStyle w:val="ListParagraph"/>
      </w:pPr>
      <w:r w:rsidRPr="00464C83">
        <w:t>Final payment will be sent four to six weeks following the receipt of a complete final report (see Reporting).</w:t>
      </w:r>
    </w:p>
    <w:p w14:paraId="799460CD" w14:textId="708BF844" w:rsidR="009E2357" w:rsidRDefault="009E2357" w:rsidP="00E73BB4">
      <w:r w:rsidRPr="00464C83">
        <w:t xml:space="preserve">If the above payment schedule represents a financial hardship, </w:t>
      </w:r>
      <w:r w:rsidRPr="005F632E">
        <w:rPr>
          <w:b/>
          <w:bCs/>
        </w:rPr>
        <w:t>GRANTEE</w:t>
      </w:r>
      <w:r w:rsidRPr="00464C83">
        <w:t xml:space="preserve"> has the option to request one advance payment of up to 80% of your grant award. An advance payment may be requested for expenditures already incurred or for expenditures you expect to incur within 30 days. Please complete the </w:t>
      </w:r>
      <w:r w:rsidR="00A33478">
        <w:t>a</w:t>
      </w:r>
      <w:r w:rsidRPr="00464C83">
        <w:t xml:space="preserve">dvance </w:t>
      </w:r>
      <w:r w:rsidR="00A33478">
        <w:t>p</w:t>
      </w:r>
      <w:r w:rsidRPr="00464C83">
        <w:t xml:space="preserve">ayment </w:t>
      </w:r>
      <w:r w:rsidR="00A33478">
        <w:t>r</w:t>
      </w:r>
      <w:r w:rsidRPr="00464C83">
        <w:t xml:space="preserve">equest </w:t>
      </w:r>
      <w:r w:rsidR="00A33478">
        <w:t>f</w:t>
      </w:r>
      <w:r w:rsidRPr="00464C83">
        <w:t>orm, available</w:t>
      </w:r>
      <w:r>
        <w:t xml:space="preserve"> in the Online Community</w:t>
      </w:r>
      <w:r w:rsidRPr="00464C83">
        <w:t>, to request an advance payment. If an advance payment is issued, your program start payment will be adjusted according to the remaining balance.</w:t>
      </w:r>
    </w:p>
    <w:p w14:paraId="4C52A257" w14:textId="2EB4EFAC" w:rsidR="009E2357" w:rsidRPr="00464C83" w:rsidRDefault="009E2357" w:rsidP="00E73BB4">
      <w:r>
        <w:t>By default</w:t>
      </w:r>
      <w:r w:rsidR="00A33478">
        <w:t>,</w:t>
      </w:r>
      <w:r>
        <w:t xml:space="preserve"> payments will be issued by check. If </w:t>
      </w:r>
      <w:r w:rsidRPr="005F632E">
        <w:rPr>
          <w:b/>
          <w:bCs/>
        </w:rPr>
        <w:t>GRANTEE</w:t>
      </w:r>
      <w:r>
        <w:t xml:space="preserve"> would prefer to receive funds via electronic transfer, </w:t>
      </w:r>
      <w:r w:rsidRPr="005F632E">
        <w:rPr>
          <w:b/>
          <w:bCs/>
        </w:rPr>
        <w:t>GRANTEE</w:t>
      </w:r>
      <w:r>
        <w:t xml:space="preserve"> must provide Arts Midwest with the email address of the individual who manages </w:t>
      </w:r>
      <w:r w:rsidRPr="005F632E">
        <w:rPr>
          <w:b/>
          <w:bCs/>
        </w:rPr>
        <w:t>GRANTEE</w:t>
      </w:r>
      <w:r>
        <w:t>’s finances so they can set up an account in our financial system.</w:t>
      </w:r>
    </w:p>
    <w:p w14:paraId="192AC5D7" w14:textId="77777777" w:rsidR="009E2357" w:rsidRPr="00464C83" w:rsidRDefault="009E2357" w:rsidP="00E73BB4">
      <w:r w:rsidRPr="00464C83">
        <w:t xml:space="preserve">Payments are contingent upon Arts Midwest’s receipt of </w:t>
      </w:r>
      <w:r>
        <w:t xml:space="preserve">federal </w:t>
      </w:r>
      <w:r w:rsidRPr="00464C83">
        <w:t>funds from the National Endowment for the Arts. Payments must be disbursed within 30 days of receipt.</w:t>
      </w:r>
    </w:p>
    <w:p w14:paraId="18F4819B" w14:textId="77777777" w:rsidR="009E2357" w:rsidRPr="0053274F" w:rsidRDefault="009E2357" w:rsidP="00016984">
      <w:pPr>
        <w:pStyle w:val="Heading2"/>
      </w:pPr>
      <w:r w:rsidRPr="0053274F">
        <w:t>Award management</w:t>
      </w:r>
    </w:p>
    <w:p w14:paraId="771CC922" w14:textId="039F21D5" w:rsidR="009E2357" w:rsidRPr="00464C83" w:rsidRDefault="009E2357" w:rsidP="00016984">
      <w:r w:rsidRPr="005F632E">
        <w:rPr>
          <w:b/>
          <w:bCs/>
        </w:rPr>
        <w:t>GRANTEE</w:t>
      </w:r>
      <w:r w:rsidRPr="00464C83">
        <w:t xml:space="preserve"> must manage this award in the Online Community</w:t>
      </w:r>
      <w:r>
        <w:t xml:space="preserve"> located at the following web address: </w:t>
      </w:r>
      <w:hyperlink r:id="rId12" w:history="1">
        <w:r w:rsidRPr="00016984">
          <w:t>https://artsmidwest.force.com/neabigread</w:t>
        </w:r>
      </w:hyperlink>
      <w:r w:rsidRPr="00464C83">
        <w:t xml:space="preserve">. Arts Midwest will work with you to make sure all necessary parties have access to this website. All documents needed to manage your award, including the </w:t>
      </w:r>
      <w:r w:rsidR="00066613">
        <w:t>crediting requirements</w:t>
      </w:r>
      <w:r w:rsidRPr="00464C83">
        <w:t>, budget forms, final report (see Reporting), and other resources are available in the Online Community</w:t>
      </w:r>
      <w:r w:rsidRPr="00464C83">
        <w:rPr>
          <w:color w:val="000000"/>
        </w:rPr>
        <w:t xml:space="preserve">. </w:t>
      </w:r>
      <w:r w:rsidR="008024FA">
        <w:rPr>
          <w:color w:val="000000"/>
        </w:rPr>
        <w:br/>
      </w:r>
    </w:p>
    <w:p w14:paraId="265D158A" w14:textId="77777777" w:rsidR="009E2357" w:rsidRPr="001C5660" w:rsidRDefault="009E2357" w:rsidP="00016984">
      <w:pPr>
        <w:pStyle w:val="Heading1"/>
      </w:pPr>
      <w:r w:rsidRPr="001C5660">
        <w:t xml:space="preserve">Program requirements </w:t>
      </w:r>
    </w:p>
    <w:p w14:paraId="5C101018" w14:textId="1E52ABA4" w:rsidR="009E2357" w:rsidRPr="00464C83" w:rsidRDefault="009E2357" w:rsidP="00016984">
      <w:r w:rsidRPr="00464C83">
        <w:t xml:space="preserve">As a participant in NEA Big Read, </w:t>
      </w:r>
      <w:r w:rsidRPr="009053D5">
        <w:rPr>
          <w:b/>
          <w:bCs/>
        </w:rPr>
        <w:t>GRANTEE</w:t>
      </w:r>
      <w:r w:rsidRPr="00464C83">
        <w:t xml:space="preserve"> agrees to conduct the following </w:t>
      </w:r>
      <w:r w:rsidR="009053D5">
        <w:t xml:space="preserve">NEA </w:t>
      </w:r>
      <w:r w:rsidRPr="00464C83">
        <w:t xml:space="preserve">Big Read activities: </w:t>
      </w:r>
    </w:p>
    <w:p w14:paraId="6F465510" w14:textId="7AEAC5C9" w:rsidR="009E2357" w:rsidRDefault="009E2357" w:rsidP="00016984">
      <w:r w:rsidRPr="00464C83">
        <w:lastRenderedPageBreak/>
        <w:t>An ideal NEA Big Read lasts approximately one month</w:t>
      </w:r>
      <w:r>
        <w:t xml:space="preserve"> (but may go longer)</w:t>
      </w:r>
      <w:r w:rsidRPr="00464C83">
        <w:t xml:space="preserve"> and must occur between September 1, </w:t>
      </w:r>
      <w:proofErr w:type="gramStart"/>
      <w:r w:rsidRPr="00464C83">
        <w:t>202</w:t>
      </w:r>
      <w:r w:rsidR="00321CDD">
        <w:t>2</w:t>
      </w:r>
      <w:proofErr w:type="gramEnd"/>
      <w:r w:rsidRPr="00464C83">
        <w:t xml:space="preserve"> and June 30, 202</w:t>
      </w:r>
      <w:r w:rsidR="00321CDD">
        <w:t>3</w:t>
      </w:r>
      <w:r w:rsidRPr="00464C83">
        <w:t xml:space="preserve">. Events held prior to September 1 or after June 30 </w:t>
      </w:r>
      <w:r>
        <w:t>need written authorization from Arts Midwest</w:t>
      </w:r>
      <w:r w:rsidRPr="00464C83">
        <w:t>.</w:t>
      </w:r>
    </w:p>
    <w:p w14:paraId="783A39AD" w14:textId="77777777" w:rsidR="009E2357" w:rsidRDefault="009E2357" w:rsidP="00016984">
      <w:r w:rsidRPr="00464C83">
        <w:t xml:space="preserve">Develop and produce a dynamic community reading program designed around a single NEA Big Read selection that inspires conversation and discovery. </w:t>
      </w:r>
      <w:r>
        <w:t>Related “companion” reading titles may be included.</w:t>
      </w:r>
    </w:p>
    <w:p w14:paraId="6CC38D38" w14:textId="4B4D89F5" w:rsidR="009E2357" w:rsidRPr="00464C83" w:rsidRDefault="009E2357" w:rsidP="00016984">
      <w:r w:rsidRPr="00464C83">
        <w:t>Your literary programming should feature diverse and creative engagements that show a clear connection between the NEA Big Read book and the target audience and engage a wide range of community members with the book</w:t>
      </w:r>
      <w:r>
        <w:t xml:space="preserve"> either in-person or virtually via telecommunications technology</w:t>
      </w:r>
      <w:r w:rsidRPr="00464C83">
        <w:t xml:space="preserve">. A successful </w:t>
      </w:r>
      <w:r w:rsidR="007114F2">
        <w:t xml:space="preserve">NEA </w:t>
      </w:r>
      <w:r w:rsidRPr="00464C83">
        <w:t>Big Read will be held in a variety of venues</w:t>
      </w:r>
      <w:r>
        <w:t xml:space="preserve"> or virtual spaces</w:t>
      </w:r>
      <w:r w:rsidRPr="00464C83">
        <w:t xml:space="preserve"> and, through effective partnerships, reach a broad audience as identified by </w:t>
      </w:r>
      <w:r w:rsidRPr="00677C7D">
        <w:rPr>
          <w:b/>
          <w:bCs/>
        </w:rPr>
        <w:t>GRANTEE</w:t>
      </w:r>
      <w:r w:rsidRPr="00464C83">
        <w:t xml:space="preserve">. The number of engagements planned should be proportionate with your grant award and community population. Activities should include: </w:t>
      </w:r>
    </w:p>
    <w:p w14:paraId="6FBADB89" w14:textId="77777777" w:rsidR="00016984" w:rsidRDefault="009E2357" w:rsidP="00016984">
      <w:pPr>
        <w:pStyle w:val="ListParagraph"/>
      </w:pPr>
      <w:r w:rsidRPr="00464C83">
        <w:t xml:space="preserve">a </w:t>
      </w:r>
      <w:r>
        <w:t xml:space="preserve">public </w:t>
      </w:r>
      <w:r w:rsidRPr="00464C83">
        <w:t xml:space="preserve">kick-off event to launch the </w:t>
      </w:r>
      <w:proofErr w:type="gramStart"/>
      <w:r w:rsidRPr="00464C83">
        <w:t>program;</w:t>
      </w:r>
      <w:proofErr w:type="gramEnd"/>
      <w:r w:rsidRPr="00464C83">
        <w:t xml:space="preserve"> </w:t>
      </w:r>
    </w:p>
    <w:p w14:paraId="7970CDE4" w14:textId="77777777" w:rsidR="00016984" w:rsidRDefault="009E2357" w:rsidP="00016984">
      <w:pPr>
        <w:pStyle w:val="ListParagraph"/>
      </w:pPr>
      <w:r w:rsidRPr="00464C83">
        <w:t xml:space="preserve">a minimum of 5 discussions on the selected book featuring separate audiences for each </w:t>
      </w:r>
      <w:proofErr w:type="gramStart"/>
      <w:r w:rsidRPr="00464C83">
        <w:t>discussion;</w:t>
      </w:r>
      <w:proofErr w:type="gramEnd"/>
      <w:r w:rsidRPr="00464C83">
        <w:t xml:space="preserve"> </w:t>
      </w:r>
    </w:p>
    <w:p w14:paraId="7B65D136" w14:textId="77777777" w:rsidR="00016984" w:rsidRDefault="009E2357" w:rsidP="00016984">
      <w:pPr>
        <w:pStyle w:val="ListParagraph"/>
      </w:pPr>
      <w:r w:rsidRPr="00464C83">
        <w:t>At least</w:t>
      </w:r>
      <w:r>
        <w:t xml:space="preserve"> two presentations inspired by the content and/or themes of the NEA Big Read title. </w:t>
      </w:r>
      <w:r w:rsidRPr="00464C83">
        <w:t>If you are considering an author visit as part of your programming, please be aware that honoraria and availability vary by individual. A visit by the author of your NEA Big Read book selection is not required.</w:t>
      </w:r>
    </w:p>
    <w:p w14:paraId="6147AFD2" w14:textId="3DE4538B" w:rsidR="009E2357" w:rsidRPr="00464C83" w:rsidRDefault="009E2357" w:rsidP="00016984">
      <w:pPr>
        <w:pStyle w:val="ListParagraph"/>
      </w:pPr>
      <w:r>
        <w:t>At least two projects that engage the community and/or respond creatively to the selected book or companion title</w:t>
      </w:r>
      <w:r w:rsidRPr="00464C83">
        <w:t xml:space="preserve"> (e.g., art exhibit</w:t>
      </w:r>
      <w:r>
        <w:t>ions</w:t>
      </w:r>
      <w:r w:rsidRPr="00464C83">
        <w:t xml:space="preserve">, </w:t>
      </w:r>
      <w:r>
        <w:t xml:space="preserve">theatrical and/or musical performances, poetry slams, writing workshops and contests, </w:t>
      </w:r>
      <w:proofErr w:type="gramStart"/>
      <w:r>
        <w:t>collecting</w:t>
      </w:r>
      <w:proofErr w:type="gramEnd"/>
      <w:r>
        <w:t xml:space="preserve"> and sharing oral/written stories from members of the community, </w:t>
      </w:r>
      <w:r w:rsidRPr="00464C83">
        <w:t xml:space="preserve">etc.). </w:t>
      </w:r>
    </w:p>
    <w:p w14:paraId="163106A0" w14:textId="77777777" w:rsidR="009E2357" w:rsidRPr="00464C83" w:rsidRDefault="009E2357" w:rsidP="00016984">
      <w:r w:rsidRPr="00464C83">
        <w:t xml:space="preserve">Partner with a library (if </w:t>
      </w:r>
      <w:r w:rsidRPr="00677C7D">
        <w:rPr>
          <w:b/>
          <w:bCs/>
        </w:rPr>
        <w:t>GRANTEE</w:t>
      </w:r>
      <w:r w:rsidRPr="00464C83">
        <w:t xml:space="preserve"> itself is not a library) and with additional community organizations </w:t>
      </w:r>
      <w:proofErr w:type="gramStart"/>
      <w:r w:rsidRPr="00464C83">
        <w:t>in order to</w:t>
      </w:r>
      <w:proofErr w:type="gramEnd"/>
      <w:r w:rsidRPr="00464C83">
        <w:t xml:space="preserve"> broaden community participation and reach a wide array of audiences. </w:t>
      </w:r>
    </w:p>
    <w:p w14:paraId="71D7DAD9" w14:textId="77777777" w:rsidR="009E2357" w:rsidRPr="00464C83" w:rsidRDefault="009E2357" w:rsidP="00016984">
      <w:r w:rsidRPr="00464C83">
        <w:t>Promote your programming through digital and print channels, and partnering with local radio, print, TV, social media, and other media outlets as appropriate.</w:t>
      </w:r>
    </w:p>
    <w:p w14:paraId="00F3B5EA" w14:textId="77D7910A" w:rsidR="009E2357" w:rsidRPr="0053274F" w:rsidRDefault="009E2357" w:rsidP="00016984">
      <w:r w:rsidRPr="00464C83">
        <w:t xml:space="preserve">Use and distribute the NEA Big Read educational and promotional materials for your chosen book found at </w:t>
      </w:r>
      <w:hyperlink r:id="rId13" w:history="1">
        <w:r w:rsidRPr="00016984">
          <w:t>http://www.arts.gov/neabigread</w:t>
        </w:r>
      </w:hyperlink>
      <w:r w:rsidR="005F049F">
        <w:t xml:space="preserve"> (see </w:t>
      </w:r>
      <w:proofErr w:type="gramStart"/>
      <w:r w:rsidR="005F049F">
        <w:t>Educational</w:t>
      </w:r>
      <w:proofErr w:type="gramEnd"/>
      <w:r w:rsidR="005F049F">
        <w:t xml:space="preserve"> materials section below)</w:t>
      </w:r>
      <w:r w:rsidRPr="00464C83">
        <w:t xml:space="preserve">. </w:t>
      </w:r>
    </w:p>
    <w:p w14:paraId="209687E2" w14:textId="23E43441" w:rsidR="009E2357" w:rsidRPr="00464C83" w:rsidRDefault="009E2357" w:rsidP="00016984">
      <w:r w:rsidRPr="00464C83">
        <w:t xml:space="preserve">In addition, </w:t>
      </w:r>
      <w:r w:rsidRPr="00677C7D">
        <w:rPr>
          <w:b/>
          <w:bCs/>
        </w:rPr>
        <w:t>GRANTEE</w:t>
      </w:r>
      <w:r w:rsidRPr="00464C83">
        <w:t xml:space="preserve"> is strongly encouraged to participate in all offered training webinars and conference calls </w:t>
      </w:r>
      <w:r>
        <w:t xml:space="preserve">from Arts Midwest </w:t>
      </w:r>
      <w:r w:rsidRPr="00464C83">
        <w:t xml:space="preserve">including the online orientation activities in June. </w:t>
      </w:r>
    </w:p>
    <w:p w14:paraId="49E7B395" w14:textId="77777777" w:rsidR="009E2357" w:rsidRPr="001C5660" w:rsidRDefault="009E2357" w:rsidP="00016984">
      <w:pPr>
        <w:pStyle w:val="Heading2"/>
      </w:pPr>
      <w:r w:rsidRPr="001C5660">
        <w:t xml:space="preserve">Admission </w:t>
      </w:r>
    </w:p>
    <w:p w14:paraId="58E12F3C" w14:textId="77777777" w:rsidR="009E2357" w:rsidRPr="00464C83" w:rsidRDefault="009E2357" w:rsidP="00016984">
      <w:r w:rsidRPr="00464C83">
        <w:t xml:space="preserve">Admission to, as well as seating and participation in, NEA Big Read programs shall be open to any person and shall be without regards to race, color, natural origin, disability, religion, age, or gender as provided in Section </w:t>
      </w:r>
      <w:r w:rsidRPr="00464C83">
        <w:lastRenderedPageBreak/>
        <w:t xml:space="preserve">504 of the Rehabilitation Act of 1973 (as amended), the Americans with Disabilities Act of 1990 (as amended), Title VI of the Civil Rights Act of 1964 (as amended), Title IX of the Education Amendments of 1972 (as amended), and the Age Discrimination Act of 1975 (as amended). </w:t>
      </w:r>
    </w:p>
    <w:p w14:paraId="51DDF9B2" w14:textId="77777777" w:rsidR="009E2357" w:rsidRPr="00464C83" w:rsidRDefault="009E2357" w:rsidP="00016984">
      <w:r w:rsidRPr="00677C7D">
        <w:rPr>
          <w:b/>
          <w:bCs/>
        </w:rPr>
        <w:t>GRANTEE</w:t>
      </w:r>
      <w:r w:rsidRPr="00464C83">
        <w:t xml:space="preserve"> shall provide, upon request from Arts Midwest, up to six complimentary admissions to all activities without cost to Arts Midwest for VIPs or promotional use. Arts Midwest will work with </w:t>
      </w:r>
      <w:r w:rsidRPr="00677C7D">
        <w:rPr>
          <w:b/>
          <w:bCs/>
        </w:rPr>
        <w:t>GRANTEE</w:t>
      </w:r>
      <w:r w:rsidRPr="00464C83">
        <w:t xml:space="preserve"> to ensure that proper procedures for admission are followed. </w:t>
      </w:r>
    </w:p>
    <w:p w14:paraId="4BC106E4" w14:textId="77777777" w:rsidR="009E2357" w:rsidRPr="00E94C85" w:rsidRDefault="009E2357" w:rsidP="00016984">
      <w:pPr>
        <w:rPr>
          <w:i/>
          <w:iCs/>
        </w:rPr>
      </w:pPr>
      <w:r>
        <w:rPr>
          <w:i/>
          <w:iCs/>
        </w:rPr>
        <w:t xml:space="preserve">If </w:t>
      </w:r>
      <w:r w:rsidRPr="00677C7D">
        <w:rPr>
          <w:b/>
          <w:bCs/>
          <w:i/>
          <w:iCs/>
        </w:rPr>
        <w:t>GRANTEE</w:t>
      </w:r>
      <w:r>
        <w:rPr>
          <w:i/>
          <w:iCs/>
        </w:rPr>
        <w:t xml:space="preserve"> is unable to meet</w:t>
      </w:r>
      <w:r w:rsidRPr="00464C83">
        <w:rPr>
          <w:i/>
          <w:iCs/>
        </w:rPr>
        <w:t xml:space="preserve"> program requirements</w:t>
      </w:r>
      <w:r>
        <w:rPr>
          <w:i/>
          <w:iCs/>
        </w:rPr>
        <w:t>, future support from Arts Midwest may not be available.</w:t>
      </w:r>
    </w:p>
    <w:p w14:paraId="473241E1" w14:textId="77777777" w:rsidR="009E2357" w:rsidRPr="001C5660" w:rsidRDefault="009E2357" w:rsidP="00016984">
      <w:pPr>
        <w:pStyle w:val="Heading1"/>
      </w:pPr>
      <w:r w:rsidRPr="001C5660">
        <w:t xml:space="preserve">Crediting and publicity </w:t>
      </w:r>
    </w:p>
    <w:p w14:paraId="6E16218A" w14:textId="6AF48701" w:rsidR="009E2357" w:rsidRPr="00464C83" w:rsidRDefault="009E2357" w:rsidP="00016984">
      <w:r w:rsidRPr="00464C83">
        <w:t xml:space="preserve">The National Endowment for the Arts and Arts Midwest seek to achieve unified branding for this national program and </w:t>
      </w:r>
      <w:r w:rsidRPr="00677C7D">
        <w:rPr>
          <w:b/>
          <w:bCs/>
        </w:rPr>
        <w:t>GRANTEE</w:t>
      </w:r>
      <w:r w:rsidRPr="00464C83">
        <w:t xml:space="preserve"> must comply with </w:t>
      </w:r>
      <w:r w:rsidR="00677C7D">
        <w:t>Attachment D: Crediting Requirements</w:t>
      </w:r>
      <w:r w:rsidRPr="00464C83">
        <w:t xml:space="preserve">, which is part of this Agreement. This includes the usage of the credit line and logo in all print and digital materials as well as proper display of NEA Big Read banners and bookmarks. Arts Midwest expects </w:t>
      </w:r>
      <w:r w:rsidRPr="00677C7D">
        <w:rPr>
          <w:b/>
          <w:bCs/>
        </w:rPr>
        <w:t>GRANTEE</w:t>
      </w:r>
      <w:r w:rsidRPr="00464C83">
        <w:t xml:space="preserve"> to ensure proper crediting and visibility for the benefit of both </w:t>
      </w:r>
      <w:r w:rsidRPr="00677C7D">
        <w:rPr>
          <w:b/>
          <w:bCs/>
        </w:rPr>
        <w:t>GRANTEE</w:t>
      </w:r>
      <w:r w:rsidRPr="00464C83">
        <w:t xml:space="preserve"> and this national program.</w:t>
      </w:r>
      <w:r w:rsidRPr="00464C83">
        <w:br/>
      </w:r>
      <w:r w:rsidRPr="00464C83">
        <w:br/>
        <w:t>Toward that end we require that you call your program “NEA Big Read” or “NEA Big Read: [city name]” for example.</w:t>
      </w:r>
    </w:p>
    <w:p w14:paraId="62118BF0" w14:textId="77777777" w:rsidR="009E2357" w:rsidRPr="00464C83" w:rsidRDefault="009E2357" w:rsidP="00016984">
      <w:r w:rsidRPr="00677C7D">
        <w:rPr>
          <w:b/>
          <w:bCs/>
        </w:rPr>
        <w:t>GRANTEE</w:t>
      </w:r>
      <w:r w:rsidRPr="00464C83">
        <w:t xml:space="preserve"> will be required to upload two to three samples of printed materials and digital communications with your final report. </w:t>
      </w:r>
    </w:p>
    <w:p w14:paraId="56326A1A" w14:textId="396CFD87" w:rsidR="009E2357" w:rsidRPr="00464C83" w:rsidRDefault="009E2357" w:rsidP="00016984">
      <w:bookmarkStart w:id="0" w:name="_Hlk35861974"/>
      <w:r w:rsidRPr="00464C83">
        <w:rPr>
          <w:i/>
          <w:iCs/>
        </w:rPr>
        <w:t xml:space="preserve">If </w:t>
      </w:r>
      <w:r w:rsidRPr="00677C7D">
        <w:rPr>
          <w:b/>
          <w:bCs/>
          <w:i/>
          <w:iCs/>
        </w:rPr>
        <w:t>GRANTEE</w:t>
      </w:r>
      <w:r w:rsidRPr="00464C83">
        <w:rPr>
          <w:i/>
          <w:iCs/>
        </w:rPr>
        <w:t xml:space="preserve"> is unable to meet crediting requirements, as set forth in the </w:t>
      </w:r>
      <w:r w:rsidR="00677C7D">
        <w:rPr>
          <w:i/>
          <w:iCs/>
        </w:rPr>
        <w:t>Attachment D</w:t>
      </w:r>
      <w:r w:rsidRPr="00464C83">
        <w:rPr>
          <w:i/>
          <w:iCs/>
        </w:rPr>
        <w:t>, future support from Arts Midwest may not be available</w:t>
      </w:r>
      <w:r w:rsidRPr="00464C83">
        <w:t xml:space="preserve">. </w:t>
      </w:r>
    </w:p>
    <w:bookmarkEnd w:id="0"/>
    <w:p w14:paraId="671D4135" w14:textId="77777777" w:rsidR="009E2357" w:rsidRPr="001C5660" w:rsidRDefault="009E2357" w:rsidP="002E16B6">
      <w:pPr>
        <w:pStyle w:val="Heading2"/>
      </w:pPr>
      <w:r w:rsidRPr="001C5660">
        <w:t>Public relations</w:t>
      </w:r>
    </w:p>
    <w:p w14:paraId="685B7F52" w14:textId="77777777" w:rsidR="009E2357" w:rsidRPr="00464C83" w:rsidRDefault="009E2357" w:rsidP="002E16B6">
      <w:r w:rsidRPr="007F5A42">
        <w:rPr>
          <w:b/>
          <w:bCs/>
        </w:rPr>
        <w:t>GRANTEE</w:t>
      </w:r>
      <w:r w:rsidRPr="00464C83">
        <w:t xml:space="preserve">’s outreach efforts to local media, including print, television, social media, and radio outlets, are very important to the success of NEA Big Read. </w:t>
      </w:r>
    </w:p>
    <w:p w14:paraId="19304A4D" w14:textId="77777777" w:rsidR="009E2357" w:rsidRPr="00464C83" w:rsidRDefault="009E2357" w:rsidP="002E16B6">
      <w:r w:rsidRPr="00464C83">
        <w:t xml:space="preserve">The National Endowment for the Arts will create a sample news release for use in publicizing </w:t>
      </w:r>
      <w:r w:rsidRPr="007F5A42">
        <w:rPr>
          <w:b/>
          <w:bCs/>
        </w:rPr>
        <w:t>GRANTEE</w:t>
      </w:r>
      <w:r w:rsidRPr="00464C83">
        <w:t>’s participation in NEA Big Read. This news release should be customized to accommodate your local organization and distributed to your local media. The news release will be available for download from the Online Community</w:t>
      </w:r>
      <w:r>
        <w:t>.</w:t>
      </w:r>
    </w:p>
    <w:p w14:paraId="6C9F39D2" w14:textId="64808546" w:rsidR="009E2357" w:rsidRPr="001C5660" w:rsidRDefault="009E2357" w:rsidP="002E16B6">
      <w:r w:rsidRPr="00464C83">
        <w:t>The N</w:t>
      </w:r>
      <w:r w:rsidR="007F5A42">
        <w:t>ational Endowment for the Arts</w:t>
      </w:r>
      <w:r w:rsidRPr="00464C83">
        <w:t xml:space="preserve"> also created a </w:t>
      </w:r>
      <w:r w:rsidR="007F5A42">
        <w:t>“</w:t>
      </w:r>
      <w:r w:rsidRPr="00464C83">
        <w:t>PR toolkit,</w:t>
      </w:r>
      <w:r w:rsidR="007F5A42">
        <w:t>”</w:t>
      </w:r>
      <w:r w:rsidRPr="00464C83">
        <w:t xml:space="preserve"> which is available online in the Online Community. This toolkit contains sample press releases, talking points, frequently asked questions, and other public relations tools, along with tips on working with print, radio, and television media. </w:t>
      </w:r>
    </w:p>
    <w:p w14:paraId="0DDCBE72" w14:textId="77777777" w:rsidR="008024FA" w:rsidRDefault="008024FA" w:rsidP="002E16B6">
      <w:pPr>
        <w:pStyle w:val="Heading1"/>
      </w:pPr>
    </w:p>
    <w:p w14:paraId="337A22ED" w14:textId="0AE1A752" w:rsidR="009E2357" w:rsidRPr="001C5660" w:rsidRDefault="009E2357" w:rsidP="002E16B6">
      <w:pPr>
        <w:pStyle w:val="Heading1"/>
      </w:pPr>
      <w:r w:rsidRPr="001C5660">
        <w:t xml:space="preserve">Educational materials </w:t>
      </w:r>
    </w:p>
    <w:p w14:paraId="6F9ABED4" w14:textId="77777777" w:rsidR="009E2357" w:rsidRPr="00464C83" w:rsidRDefault="009E2357" w:rsidP="002E16B6">
      <w:pPr>
        <w:rPr>
          <w:color w:val="000000"/>
        </w:rPr>
      </w:pPr>
      <w:r w:rsidRPr="00464C83">
        <w:t xml:space="preserve">All NEA Big Read educational materials are accessible online at </w:t>
      </w:r>
      <w:hyperlink r:id="rId14" w:history="1">
        <w:r w:rsidRPr="007F5A42">
          <w:rPr>
            <w:rStyle w:val="Hyperlink"/>
            <w:rFonts w:cs="Times New Roman"/>
          </w:rPr>
          <w:t>http://www.arts.gov/neabigread</w:t>
        </w:r>
      </w:hyperlink>
      <w:r w:rsidRPr="00464C83">
        <w:rPr>
          <w:color w:val="000000"/>
        </w:rPr>
        <w:t xml:space="preserve">. </w:t>
      </w:r>
    </w:p>
    <w:p w14:paraId="1E97B7F7" w14:textId="09941E36" w:rsidR="009E2357" w:rsidRPr="00464C83" w:rsidRDefault="009E2357" w:rsidP="002E16B6">
      <w:r w:rsidRPr="00464C83">
        <w:t>NEA Big Read educational materials vary by book selection. Materials may include Reader Resources</w:t>
      </w:r>
      <w:r w:rsidR="002D2CA1">
        <w:t xml:space="preserve"> </w:t>
      </w:r>
      <w:r w:rsidR="002E16B6">
        <w:t xml:space="preserve">and </w:t>
      </w:r>
      <w:r w:rsidR="002D2CA1">
        <w:t>audio materials</w:t>
      </w:r>
      <w:r w:rsidR="002E16B6">
        <w:t>.</w:t>
      </w:r>
    </w:p>
    <w:p w14:paraId="3D793667" w14:textId="77777777" w:rsidR="009E2357" w:rsidRPr="00464C83" w:rsidRDefault="009E2357" w:rsidP="002E16B6">
      <w:pPr>
        <w:rPr>
          <w:bCs/>
          <w:iCs/>
        </w:rPr>
      </w:pPr>
      <w:r w:rsidRPr="00464C83">
        <w:t xml:space="preserve">Please </w:t>
      </w:r>
      <w:r w:rsidRPr="00464C83">
        <w:rPr>
          <w:bCs/>
          <w:iCs/>
        </w:rPr>
        <w:t xml:space="preserve">note: NEA Big Read educational materials are not provided in print. </w:t>
      </w:r>
    </w:p>
    <w:p w14:paraId="6E28E5AE" w14:textId="77777777" w:rsidR="009E2357" w:rsidRPr="00464C83" w:rsidRDefault="009E2357" w:rsidP="002E16B6">
      <w:r w:rsidRPr="00464C83">
        <w:t>Online resources include:</w:t>
      </w:r>
    </w:p>
    <w:p w14:paraId="3200435E" w14:textId="77777777" w:rsidR="009E2357" w:rsidRPr="00464C83" w:rsidRDefault="009E2357" w:rsidP="002E16B6">
      <w:pPr>
        <w:pStyle w:val="ListParagraph"/>
      </w:pPr>
      <w:r w:rsidRPr="00464C83">
        <w:t>Reader Resources, which contain an introduction to the featured book, background on the writer, and discussion questions. Some Reader Resources also contain additional resources and information about related works.</w:t>
      </w:r>
    </w:p>
    <w:p w14:paraId="5FCB9B80" w14:textId="58210054" w:rsidR="009E2357" w:rsidRPr="00464C83" w:rsidRDefault="009E2357" w:rsidP="002E16B6">
      <w:pPr>
        <w:pStyle w:val="ListParagraph"/>
      </w:pPr>
      <w:r w:rsidRPr="00464C83">
        <w:t xml:space="preserve">Audio </w:t>
      </w:r>
      <w:proofErr w:type="gramStart"/>
      <w:r w:rsidR="002D2CA1">
        <w:t>materials</w:t>
      </w:r>
      <w:r w:rsidRPr="00464C83">
        <w:t>(</w:t>
      </w:r>
      <w:proofErr w:type="gramEnd"/>
      <w:r w:rsidRPr="00464C83">
        <w:t>available to stream online), which are 20 to 30-minute programs about the book featuring interviews and readings by literary and public figures.</w:t>
      </w:r>
    </w:p>
    <w:p w14:paraId="66D35846" w14:textId="4BB13D0A" w:rsidR="009E2357" w:rsidRDefault="009E2357" w:rsidP="002E16B6">
      <w:pPr>
        <w:pStyle w:val="NoSpacing"/>
      </w:pPr>
      <w:r w:rsidRPr="00464C83">
        <w:t>Reader Resources</w:t>
      </w:r>
      <w:r w:rsidR="002E16B6">
        <w:t xml:space="preserve"> and</w:t>
      </w:r>
      <w:r w:rsidRPr="00464C83">
        <w:t xml:space="preserve"> </w:t>
      </w:r>
      <w:r w:rsidR="002D2CA1">
        <w:t xml:space="preserve">audio materials </w:t>
      </w:r>
      <w:r w:rsidRPr="00464C83">
        <w:t>by NEA Big Read are licensed under a Creative Commons Attribution-</w:t>
      </w:r>
      <w:proofErr w:type="spellStart"/>
      <w:r w:rsidRPr="00464C83">
        <w:t>NonCommercial</w:t>
      </w:r>
      <w:proofErr w:type="spellEnd"/>
      <w:r w:rsidRPr="00464C83">
        <w:t>-</w:t>
      </w:r>
      <w:proofErr w:type="spellStart"/>
      <w:r w:rsidRPr="00464C83">
        <w:t>NoDerivs</w:t>
      </w:r>
      <w:proofErr w:type="spellEnd"/>
      <w:r w:rsidRPr="00464C83">
        <w:t xml:space="preserve"> 4.0 International License. For legal reasons, photos used in the Reader Resources are prohibited from duplication without permission. The Audio Guides may be used for radio broadcast, classroom, and individual uses. Text content from NEA Big Read Teacher’s Guides by NEA Big Read is licensed under a Creative Commons Attribution-</w:t>
      </w:r>
      <w:proofErr w:type="spellStart"/>
      <w:r w:rsidRPr="00464C83">
        <w:t>NonCommercial</w:t>
      </w:r>
      <w:proofErr w:type="spellEnd"/>
      <w:r w:rsidRPr="00464C83">
        <w:t>-</w:t>
      </w:r>
      <w:proofErr w:type="spellStart"/>
      <w:r w:rsidRPr="00464C83">
        <w:t>ShareAlike</w:t>
      </w:r>
      <w:proofErr w:type="spellEnd"/>
      <w:r w:rsidRPr="00464C83">
        <w:t xml:space="preserve"> 4.0 International License.</w:t>
      </w:r>
    </w:p>
    <w:p w14:paraId="5931E2CA" w14:textId="77777777" w:rsidR="002E16B6" w:rsidRPr="00464C83" w:rsidRDefault="002E16B6" w:rsidP="002E16B6">
      <w:pPr>
        <w:pStyle w:val="NoSpacing"/>
      </w:pPr>
    </w:p>
    <w:p w14:paraId="54EE51D1" w14:textId="77777777" w:rsidR="009E2357" w:rsidRPr="001C5660" w:rsidRDefault="009E2357" w:rsidP="002E16B6">
      <w:pPr>
        <w:pStyle w:val="Heading1"/>
      </w:pPr>
      <w:r w:rsidRPr="001C5660">
        <w:t xml:space="preserve">Promotional materials </w:t>
      </w:r>
    </w:p>
    <w:p w14:paraId="55C59757" w14:textId="77777777" w:rsidR="009E2357" w:rsidRPr="00464C83" w:rsidRDefault="009E2357" w:rsidP="002E16B6">
      <w:r w:rsidRPr="00464C83">
        <w:t xml:space="preserve">The following NEA Big Read promotional materials are provided to </w:t>
      </w:r>
      <w:r w:rsidRPr="00B308A5">
        <w:rPr>
          <w:b/>
          <w:bCs/>
        </w:rPr>
        <w:t>GRANTEE</w:t>
      </w:r>
      <w:r w:rsidRPr="00464C83">
        <w:t xml:space="preserve"> at no cost. Grant funds may be used to procure more upon request.</w:t>
      </w:r>
    </w:p>
    <w:p w14:paraId="184BCB56" w14:textId="77777777" w:rsidR="009E2357" w:rsidRPr="001C5660" w:rsidRDefault="009E2357" w:rsidP="002E16B6">
      <w:pPr>
        <w:pStyle w:val="Heading2"/>
      </w:pPr>
      <w:r w:rsidRPr="001C5660">
        <w:t xml:space="preserve">Banners </w:t>
      </w:r>
    </w:p>
    <w:p w14:paraId="2EC456D8" w14:textId="78B2504C" w:rsidR="009E2357" w:rsidRPr="00E94C85" w:rsidRDefault="009E2357" w:rsidP="002E16B6">
      <w:r w:rsidRPr="00B308A5">
        <w:rPr>
          <w:b/>
          <w:bCs/>
        </w:rPr>
        <w:t>GRANTEE</w:t>
      </w:r>
      <w:r w:rsidRPr="00464C83">
        <w:t xml:space="preserve"> will receive three complimentary 2.5’ x 6.5’ NEA Big Read banners (two horizontal banners and one vertical banner) featuring the NEA Big Read logo and branding for on-site event promotion. </w:t>
      </w:r>
      <w:r w:rsidRPr="00B308A5">
        <w:rPr>
          <w:b/>
          <w:bCs/>
        </w:rPr>
        <w:t>GRANTEE</w:t>
      </w:r>
      <w:r w:rsidRPr="00464C83">
        <w:t xml:space="preserve"> shall hang these banners in visible locations of your choice before and during your community read activities. You must use the banners you receive this year and discard any you may have remaining from previous years. More banners may be ordered from our vendor for a fee; contact Arts Midwest for more information. Grants funds may be used to purchase additional banners.</w:t>
      </w:r>
    </w:p>
    <w:p w14:paraId="3D446394" w14:textId="77777777" w:rsidR="009E2357" w:rsidRPr="001C5660" w:rsidRDefault="009E2357" w:rsidP="002E16B6">
      <w:pPr>
        <w:pStyle w:val="Heading2"/>
      </w:pPr>
      <w:r w:rsidRPr="001C5660">
        <w:t xml:space="preserve">Bookmarks </w:t>
      </w:r>
    </w:p>
    <w:p w14:paraId="03ACE6B5" w14:textId="47D65E04" w:rsidR="009E2357" w:rsidRPr="001C5660" w:rsidRDefault="009E2357" w:rsidP="002E16B6">
      <w:r w:rsidRPr="00B308A5">
        <w:rPr>
          <w:b/>
          <w:bCs/>
        </w:rPr>
        <w:t>GRANTEE</w:t>
      </w:r>
      <w:r w:rsidRPr="00464C83">
        <w:t xml:space="preserve"> will receive a predetermined quantity of complimentary 8.5'' x 1.125'' bookmarks featuring NEA Big Read logo. You must use the bookmarks you receive this year and discard any you may have remaining from previous years if you have received an NEA Big Read grant in the past. </w:t>
      </w:r>
    </w:p>
    <w:p w14:paraId="1B1B5B3D" w14:textId="77777777" w:rsidR="009E2357" w:rsidRPr="001C5660" w:rsidRDefault="009E2357" w:rsidP="002E16B6">
      <w:pPr>
        <w:pStyle w:val="Heading2"/>
      </w:pPr>
      <w:r w:rsidRPr="001C5660">
        <w:lastRenderedPageBreak/>
        <w:t xml:space="preserve">Other promotional tools </w:t>
      </w:r>
    </w:p>
    <w:p w14:paraId="0387F075" w14:textId="77777777" w:rsidR="009E2357" w:rsidRDefault="009E2357" w:rsidP="002E16B6">
      <w:r w:rsidRPr="00464C83">
        <w:t xml:space="preserve">In addition to these materials, we also provide the NEA Big Read logo block and credit line for </w:t>
      </w:r>
      <w:r w:rsidRPr="00B308A5">
        <w:rPr>
          <w:b/>
          <w:bCs/>
        </w:rPr>
        <w:t>GRANTEE</w:t>
      </w:r>
      <w:r w:rsidRPr="00464C83">
        <w:t xml:space="preserve">’s use in creating your own promotional and marketing materials. This NEA Big Read logo block and credit line are available to be included on advertisements, posters, flyers, postcards, or other promotional items of your design. These materials are available for download in the Online Community. </w:t>
      </w:r>
    </w:p>
    <w:p w14:paraId="11205BF3" w14:textId="77777777" w:rsidR="009E2357" w:rsidRPr="00E94C85" w:rsidRDefault="009E2357" w:rsidP="009E2357">
      <w:pPr>
        <w:pStyle w:val="Default"/>
      </w:pPr>
    </w:p>
    <w:p w14:paraId="21742989" w14:textId="77777777" w:rsidR="009E2357" w:rsidRPr="001C5660" w:rsidRDefault="009E2357" w:rsidP="002E16B6">
      <w:pPr>
        <w:pStyle w:val="Heading1"/>
      </w:pPr>
      <w:r w:rsidRPr="001C5660">
        <w:t xml:space="preserve">Reporting </w:t>
      </w:r>
    </w:p>
    <w:p w14:paraId="006A1F5A" w14:textId="77777777" w:rsidR="009E2357" w:rsidRPr="001C5660" w:rsidRDefault="009E2357" w:rsidP="002E16B6">
      <w:pPr>
        <w:pStyle w:val="Heading2"/>
      </w:pPr>
      <w:r w:rsidRPr="001C5660">
        <w:t>Program start and end dates</w:t>
      </w:r>
    </w:p>
    <w:p w14:paraId="21AA6AA7" w14:textId="4C85BBB6" w:rsidR="009E2357" w:rsidRPr="002E16B6" w:rsidRDefault="009E2357" w:rsidP="002E16B6">
      <w:r w:rsidRPr="00B308A5">
        <w:rPr>
          <w:b/>
          <w:bCs/>
        </w:rPr>
        <w:t>GRANTEE</w:t>
      </w:r>
      <w:r w:rsidRPr="00464C83">
        <w:t xml:space="preserve"> is responsible for updating the “programming start date” and “programming end date” fields in their Case in the Online Community or informing Arts Midwest of updates. These dates refer to your first and last engagements (events) for your NEA Big Read. It is important to keep these dates updated as they will determine your reporting deadlines as noted below.</w:t>
      </w:r>
    </w:p>
    <w:p w14:paraId="21CA5DE6" w14:textId="77777777" w:rsidR="009E2357" w:rsidRPr="001C5660" w:rsidRDefault="009E2357" w:rsidP="002E16B6">
      <w:pPr>
        <w:pStyle w:val="Heading2"/>
      </w:pPr>
      <w:r w:rsidRPr="001C5660">
        <w:t xml:space="preserve">Program engagements (events) listing </w:t>
      </w:r>
    </w:p>
    <w:p w14:paraId="6B8107D9" w14:textId="77777777" w:rsidR="009E2357" w:rsidRPr="00464C83" w:rsidRDefault="009E2357" w:rsidP="002E16B6">
      <w:r w:rsidRPr="006A1273">
        <w:rPr>
          <w:b/>
          <w:bCs/>
        </w:rPr>
        <w:t>GRANTEE</w:t>
      </w:r>
      <w:r w:rsidRPr="00464C83">
        <w:t xml:space="preserve">'s engagements listing is essential to providing Arts Midwest and the National Endowment for the Arts with detailed information concerning your project’s activities. </w:t>
      </w:r>
    </w:p>
    <w:p w14:paraId="5016F65F" w14:textId="77777777" w:rsidR="009E2357" w:rsidRPr="00464C83" w:rsidRDefault="009E2357" w:rsidP="002E16B6">
      <w:r w:rsidRPr="006A1273">
        <w:rPr>
          <w:b/>
          <w:bCs/>
        </w:rPr>
        <w:t>GRANTEE</w:t>
      </w:r>
      <w:r w:rsidRPr="00464C83">
        <w:t xml:space="preserve"> is required to input their information according to the following schedule:</w:t>
      </w:r>
    </w:p>
    <w:p w14:paraId="1BF6775A" w14:textId="7DAA2E38" w:rsidR="009E2357" w:rsidRPr="00464C83" w:rsidRDefault="009E2357" w:rsidP="002E16B6">
      <w:pPr>
        <w:pStyle w:val="ListParagraph"/>
      </w:pPr>
      <w:r w:rsidRPr="00464C83">
        <w:rPr>
          <w:b/>
          <w:bCs/>
        </w:rPr>
        <w:t xml:space="preserve">30 days prior to your first </w:t>
      </w:r>
      <w:r w:rsidR="006A1273">
        <w:rPr>
          <w:b/>
          <w:bCs/>
        </w:rPr>
        <w:t xml:space="preserve">NEA </w:t>
      </w:r>
      <w:r w:rsidRPr="00464C83">
        <w:rPr>
          <w:b/>
          <w:bCs/>
        </w:rPr>
        <w:t>Big Read engagement</w:t>
      </w:r>
      <w:r w:rsidRPr="00464C83">
        <w:t xml:space="preserve">, </w:t>
      </w:r>
      <w:r>
        <w:t>provide a list of</w:t>
      </w:r>
      <w:r w:rsidRPr="00464C83">
        <w:t xml:space="preserve"> all planned engagements including the minimum programming requirements (found on page </w:t>
      </w:r>
      <w:r w:rsidR="00E718BB">
        <w:t>4</w:t>
      </w:r>
      <w:r w:rsidRPr="00464C83">
        <w:t xml:space="preserve"> of this Agreement). Your program start grant payment will be generated after review of this Engagements Listing by Arts Midwest along with receipt of your revised budget (if applicable). </w:t>
      </w:r>
    </w:p>
    <w:p w14:paraId="594D6D31" w14:textId="696157A8" w:rsidR="009E2357" w:rsidRDefault="009E2357" w:rsidP="002E16B6">
      <w:pPr>
        <w:pStyle w:val="ListParagraph"/>
      </w:pPr>
      <w:r w:rsidRPr="00464C83">
        <w:rPr>
          <w:b/>
          <w:bCs/>
        </w:rPr>
        <w:t>Within 45 days of the completion of your activities</w:t>
      </w:r>
      <w:r w:rsidRPr="00464C83">
        <w:t xml:space="preserve">, enter complete attendance figures as described in the final report (see Final </w:t>
      </w:r>
      <w:r w:rsidR="003C6AE0">
        <w:t>R</w:t>
      </w:r>
      <w:r w:rsidRPr="00464C83">
        <w:t>eport</w:t>
      </w:r>
      <w:r w:rsidR="003C6AE0">
        <w:t xml:space="preserve"> section below</w:t>
      </w:r>
      <w:r w:rsidRPr="00464C83">
        <w:t xml:space="preserve">). Your final grant payment will be generated after review of this submission along with your final report. </w:t>
      </w:r>
    </w:p>
    <w:p w14:paraId="0A62E52B" w14:textId="77777777" w:rsidR="009E2357" w:rsidRPr="001C5660" w:rsidRDefault="009E2357" w:rsidP="002E16B6">
      <w:r>
        <w:t>If this schedule represents a hardship, grantees must contact Arts Midwest to receive written authorization for an alternative timetable.</w:t>
      </w:r>
    </w:p>
    <w:p w14:paraId="4EBB28EF" w14:textId="07268B55" w:rsidR="009E2357" w:rsidRPr="002E16B6" w:rsidRDefault="009E2357" w:rsidP="002E16B6">
      <w:pPr>
        <w:rPr>
          <w:b/>
          <w:bCs/>
        </w:rPr>
      </w:pPr>
      <w:r w:rsidRPr="00464C83">
        <w:t xml:space="preserve">If </w:t>
      </w:r>
      <w:r w:rsidRPr="003C6AE0">
        <w:rPr>
          <w:b/>
          <w:bCs/>
        </w:rPr>
        <w:t>GRANTEE</w:t>
      </w:r>
      <w:r w:rsidRPr="00464C83">
        <w:t xml:space="preserve">'s programming beginning or ending dates change, </w:t>
      </w:r>
      <w:r w:rsidRPr="003C6AE0">
        <w:rPr>
          <w:b/>
          <w:bCs/>
        </w:rPr>
        <w:t>GRANTEE</w:t>
      </w:r>
      <w:r w:rsidRPr="00464C83">
        <w:t xml:space="preserve"> must update them on their Case in the Online Community or notify Arts Midwest immediately so grant payments will not be delayed.</w:t>
      </w:r>
    </w:p>
    <w:p w14:paraId="7D1E3894" w14:textId="77777777" w:rsidR="009E2357" w:rsidRPr="00B857D5" w:rsidRDefault="009E2357" w:rsidP="002E16B6">
      <w:pPr>
        <w:pStyle w:val="Heading2"/>
      </w:pPr>
      <w:r w:rsidRPr="00B857D5">
        <w:t xml:space="preserve">Final report </w:t>
      </w:r>
    </w:p>
    <w:p w14:paraId="0B6D8B37" w14:textId="77777777" w:rsidR="009E2357" w:rsidRPr="00464C83" w:rsidRDefault="009E2357" w:rsidP="002E16B6">
      <w:r w:rsidRPr="00464C83">
        <w:t xml:space="preserve">The final report enables us to compile and forward comprehensive information to the National Endowment for the Arts regarding NEA Big Read. </w:t>
      </w:r>
    </w:p>
    <w:p w14:paraId="048283CB" w14:textId="77777777" w:rsidR="009E2357" w:rsidRPr="00464C83" w:rsidRDefault="009E2357" w:rsidP="002E16B6">
      <w:r w:rsidRPr="003C6AE0">
        <w:rPr>
          <w:b/>
          <w:bCs/>
        </w:rPr>
        <w:lastRenderedPageBreak/>
        <w:t>GRANTEE</w:t>
      </w:r>
      <w:r w:rsidRPr="00464C83">
        <w:t xml:space="preserve"> is obligated to submit a final report to Arts Midwest </w:t>
      </w:r>
      <w:r w:rsidRPr="00464C83">
        <w:rPr>
          <w:b/>
          <w:bCs/>
        </w:rPr>
        <w:t>within 45 days following the “programming end date” listed in the Online Community</w:t>
      </w:r>
      <w:r w:rsidRPr="00464C83">
        <w:t xml:space="preserve">. You can access the final report at the top of your Case by clicking the “Continue final report” and you may save your progress. Please review the final report via this link prior to beginning your </w:t>
      </w:r>
      <w:r>
        <w:t xml:space="preserve">NEA </w:t>
      </w:r>
      <w:r w:rsidRPr="00464C83">
        <w:t xml:space="preserve">Big Read activities so you are familiar with the questions ahead of time. </w:t>
      </w:r>
    </w:p>
    <w:p w14:paraId="1E06A8D0" w14:textId="77777777" w:rsidR="009E2357" w:rsidRPr="00464C83" w:rsidRDefault="009E2357" w:rsidP="002E16B6">
      <w:r w:rsidRPr="00464C83">
        <w:t>The contents of the final report will include narrative questions, a final budget, the final listing of engagements (with full descriptions and final attendance figures), examples of crediting, and (optionally) images.</w:t>
      </w:r>
    </w:p>
    <w:p w14:paraId="0086F188" w14:textId="77777777" w:rsidR="009E2357" w:rsidRPr="00464C83" w:rsidRDefault="009E2357" w:rsidP="002E16B6">
      <w:r w:rsidRPr="00464C83">
        <w:t xml:space="preserve">To offer transparency and mentorship to other NEA Big Read communities, Arts Midwest may choose to share part or </w:t>
      </w:r>
      <w:proofErr w:type="gramStart"/>
      <w:r w:rsidRPr="00464C83">
        <w:t>all of</w:t>
      </w:r>
      <w:proofErr w:type="gramEnd"/>
      <w:r w:rsidRPr="00464C83">
        <w:t xml:space="preserve"> your final report in the Online Community. In addition, Arts Midwest may reach out to key organizers in your community asking them to share their expertise in learning opportunities for other grantee communities and applicants.</w:t>
      </w:r>
    </w:p>
    <w:p w14:paraId="53ECAA33" w14:textId="77777777" w:rsidR="009E2357" w:rsidRPr="00464C83" w:rsidRDefault="009E2357" w:rsidP="002E16B6">
      <w:pPr>
        <w:rPr>
          <w:i/>
        </w:rPr>
      </w:pPr>
      <w:r w:rsidRPr="00464C83">
        <w:rPr>
          <w:i/>
          <w:iCs/>
        </w:rPr>
        <w:t xml:space="preserve">If </w:t>
      </w:r>
      <w:r w:rsidRPr="003C6AE0">
        <w:rPr>
          <w:b/>
          <w:bCs/>
          <w:i/>
          <w:iCs/>
        </w:rPr>
        <w:t>GRANTEE</w:t>
      </w:r>
      <w:r w:rsidRPr="00464C83">
        <w:rPr>
          <w:i/>
          <w:iCs/>
        </w:rPr>
        <w:t xml:space="preserve"> does not submit a final report, Arts Midwest will not be able to issue a final payment</w:t>
      </w:r>
      <w:r w:rsidRPr="00464C83">
        <w:t xml:space="preserve">. </w:t>
      </w:r>
    </w:p>
    <w:p w14:paraId="55D1BD7C" w14:textId="77777777" w:rsidR="002E16B6" w:rsidRDefault="002E16B6" w:rsidP="002E16B6">
      <w:pPr>
        <w:pStyle w:val="Heading1"/>
      </w:pPr>
    </w:p>
    <w:p w14:paraId="394A3E6C" w14:textId="53D2B760" w:rsidR="009E2357" w:rsidRPr="00B857D5" w:rsidRDefault="009E2357" w:rsidP="002E16B6">
      <w:pPr>
        <w:pStyle w:val="Heading1"/>
      </w:pPr>
      <w:r w:rsidRPr="00B857D5">
        <w:t xml:space="preserve">Compliances </w:t>
      </w:r>
    </w:p>
    <w:p w14:paraId="704976A5" w14:textId="77777777" w:rsidR="009E2357" w:rsidRPr="00464C83" w:rsidRDefault="009E2357" w:rsidP="002E16B6">
      <w:pPr>
        <w:pStyle w:val="Heading2"/>
      </w:pPr>
      <w:r w:rsidRPr="00464C83">
        <w:t xml:space="preserve">Assurance of Compliance </w:t>
      </w:r>
    </w:p>
    <w:p w14:paraId="4D5987BC" w14:textId="5B1709F9" w:rsidR="009E2357" w:rsidRDefault="009E2357" w:rsidP="002E16B6">
      <w:r w:rsidRPr="003C6AE0">
        <w:rPr>
          <w:b/>
          <w:bCs/>
        </w:rPr>
        <w:t>GRANTEE</w:t>
      </w:r>
      <w:r w:rsidRPr="00464C83">
        <w:t xml:space="preserve"> shall comply with all provisions of the Assurance of Compliance </w:t>
      </w:r>
      <w:r w:rsidR="003C6AE0">
        <w:t>attachment</w:t>
      </w:r>
      <w:r w:rsidRPr="00464C83">
        <w:t>, which is a part of this Agreement. These compliances are required by Arts Midwest’s federal and state funding sources. An interactive version of the Assurance of Compliance with web links is also downloadable from the Online Community.</w:t>
      </w:r>
      <w:r w:rsidR="002E16B6">
        <w:br/>
      </w:r>
    </w:p>
    <w:p w14:paraId="1CDEBCDF" w14:textId="0D319DA1" w:rsidR="009E2357" w:rsidRPr="00464C83" w:rsidRDefault="00ED204D" w:rsidP="002E16B6">
      <w:r>
        <w:rPr>
          <w:rStyle w:val="Heading2Char"/>
        </w:rPr>
        <w:t>UEI</w:t>
      </w:r>
      <w:r w:rsidR="002E16B6" w:rsidRPr="002E16B6">
        <w:rPr>
          <w:rStyle w:val="Heading2Char"/>
        </w:rPr>
        <w:t xml:space="preserve"> Number and SAM.gov</w:t>
      </w:r>
      <w:r w:rsidR="009E2357" w:rsidRPr="00464C83">
        <w:rPr>
          <w:b/>
          <w:bCs/>
        </w:rPr>
        <w:br/>
      </w:r>
      <w:r w:rsidR="009E2357" w:rsidRPr="002E16B6">
        <w:t xml:space="preserve">The </w:t>
      </w:r>
      <w:r>
        <w:t>UEI</w:t>
      </w:r>
      <w:r w:rsidR="009E2357" w:rsidRPr="002E16B6">
        <w:t xml:space="preserve"> number we have on file for </w:t>
      </w:r>
      <w:r w:rsidR="009E2357" w:rsidRPr="003C6AE0">
        <w:rPr>
          <w:b/>
          <w:bCs/>
        </w:rPr>
        <w:t>GRANTEE</w:t>
      </w:r>
      <w:r w:rsidR="009E2357" w:rsidRPr="002E16B6">
        <w:t xml:space="preserve"> is {{ACCOUNT_</w:t>
      </w:r>
      <w:r w:rsidR="00DE7FAB">
        <w:t>UEI</w:t>
      </w:r>
      <w:r w:rsidR="009E2357" w:rsidRPr="002E16B6">
        <w:t xml:space="preserve">}}. This is the number that was provided by </w:t>
      </w:r>
      <w:r w:rsidR="009E2357" w:rsidRPr="003C6AE0">
        <w:rPr>
          <w:b/>
          <w:bCs/>
        </w:rPr>
        <w:t>GRANTEE</w:t>
      </w:r>
      <w:r w:rsidR="009E2357" w:rsidRPr="002E16B6">
        <w:t xml:space="preserve"> and is associated with </w:t>
      </w:r>
      <w:r w:rsidR="009E2357" w:rsidRPr="003C6AE0">
        <w:rPr>
          <w:b/>
          <w:bCs/>
        </w:rPr>
        <w:t>GRANTEE</w:t>
      </w:r>
      <w:r w:rsidR="009E2357" w:rsidRPr="002E16B6">
        <w:t>’s registration in SAM.gov. If you have questions concerning your registration, please contact Arts Midwest at 612.238.80</w:t>
      </w:r>
      <w:r w:rsidR="00D71E71">
        <w:t>24</w:t>
      </w:r>
      <w:r w:rsidR="009E2357" w:rsidRPr="002E16B6">
        <w:t xml:space="preserve">. SAM.gov registration is free to create and maintain. Disregard emails you may receive from other parties demanding fees. </w:t>
      </w:r>
    </w:p>
    <w:p w14:paraId="28008012" w14:textId="77777777" w:rsidR="009E2357" w:rsidRPr="00464C83" w:rsidRDefault="009E2357" w:rsidP="007F7DBC">
      <w:pPr>
        <w:pStyle w:val="Heading2"/>
      </w:pPr>
      <w:r w:rsidRPr="00464C83">
        <w:t xml:space="preserve">Federal tax exemption </w:t>
      </w:r>
    </w:p>
    <w:p w14:paraId="363DE9D6" w14:textId="77777777" w:rsidR="009E2357" w:rsidRPr="00464C83" w:rsidRDefault="009E2357" w:rsidP="007F7DBC">
      <w:r w:rsidRPr="003C6AE0">
        <w:rPr>
          <w:b/>
          <w:bCs/>
        </w:rPr>
        <w:t>GRANTEE</w:t>
      </w:r>
      <w:r w:rsidRPr="00464C83">
        <w:t xml:space="preserve"> certifies that it is a duly constituted, registered, and qualified 501(c)(3) not-for-profit organization as designated by the Internal Revenue Service, or is an entity of federal, state, local, or tribal government. </w:t>
      </w:r>
      <w:r w:rsidRPr="003C6AE0">
        <w:rPr>
          <w:b/>
          <w:bCs/>
        </w:rPr>
        <w:t>GRANTEE</w:t>
      </w:r>
      <w:r w:rsidRPr="00464C83">
        <w:t xml:space="preserve"> agrees to notify Arts Midwest immediately of any alteration of such status that may occur prior to the conclusion of the grant period. </w:t>
      </w:r>
    </w:p>
    <w:p w14:paraId="00409289" w14:textId="77777777" w:rsidR="009E2357" w:rsidRPr="00464C83" w:rsidRDefault="009E2357" w:rsidP="007F7DBC">
      <w:pPr>
        <w:pStyle w:val="Heading1"/>
      </w:pPr>
      <w:r w:rsidRPr="00464C83">
        <w:t>Independent contractor</w:t>
      </w:r>
    </w:p>
    <w:p w14:paraId="48423270" w14:textId="77777777" w:rsidR="009E2357" w:rsidRPr="00464C83" w:rsidRDefault="009E2357" w:rsidP="007F7DBC">
      <w:r w:rsidRPr="00464C83">
        <w:lastRenderedPageBreak/>
        <w:t xml:space="preserve">It is understood that this Agreement does not constitute a partnership or joint venture between Arts Midwest and </w:t>
      </w:r>
      <w:r w:rsidRPr="003C6AE0">
        <w:rPr>
          <w:b/>
          <w:bCs/>
        </w:rPr>
        <w:t>GRANTEE</w:t>
      </w:r>
      <w:r w:rsidRPr="00464C83">
        <w:t xml:space="preserve">, and that </w:t>
      </w:r>
      <w:r w:rsidRPr="003C6AE0">
        <w:rPr>
          <w:b/>
          <w:bCs/>
        </w:rPr>
        <w:t>GRANTEE</w:t>
      </w:r>
      <w:r w:rsidRPr="00464C83">
        <w:t xml:space="preserve">’s status is solely that of an independent contractor. </w:t>
      </w:r>
      <w:r w:rsidRPr="003C6AE0">
        <w:rPr>
          <w:b/>
          <w:bCs/>
        </w:rPr>
        <w:t>GRANTEE</w:t>
      </w:r>
      <w:r w:rsidRPr="00464C83">
        <w:t xml:space="preserve"> shall be solely responsible for the performance of its contracts including, without limitation, the payment of all costs, expenses, and damages that may arise from said contracts. Each Party shall perform and discharge all obligations pertaining to this Agreement as independent contractors, including but not limited to the payment of any taxes or resulting fees and expenses.</w:t>
      </w:r>
    </w:p>
    <w:p w14:paraId="2E95D406" w14:textId="77777777" w:rsidR="009E2357" w:rsidRPr="00464C83" w:rsidRDefault="009E2357" w:rsidP="007F7DBC">
      <w:pPr>
        <w:pStyle w:val="Heading1"/>
      </w:pPr>
      <w:r w:rsidRPr="00464C83">
        <w:t>Termination</w:t>
      </w:r>
    </w:p>
    <w:p w14:paraId="44F3AA2B" w14:textId="77777777" w:rsidR="009E2357" w:rsidRPr="00464C83" w:rsidRDefault="009E2357" w:rsidP="007F7DBC">
      <w:pPr>
        <w:pStyle w:val="ListParagraph"/>
      </w:pPr>
      <w:r w:rsidRPr="00464C83">
        <w:t>By either Party by reason of accident, Act of God, force majeure, labor strikes, any act or order by public authority, illness or death of an artist or their family member, or any unforeseen occurrence(s) which shall render the fulfilment of this Agreement by either party impossible, including, but not limited to, the inability of any artist (if applicable) to receive the necessary visas or work authorization to perform in the United States. Under such circumstance, neither Party shall be liable to the other for payment or damages of any kind or nature.</w:t>
      </w:r>
    </w:p>
    <w:p w14:paraId="52D4121B" w14:textId="77777777" w:rsidR="009E2357" w:rsidRPr="00464C83" w:rsidRDefault="009E2357" w:rsidP="007F7DBC">
      <w:pPr>
        <w:pStyle w:val="ListParagraph"/>
      </w:pPr>
      <w:r w:rsidRPr="00464C83">
        <w:t xml:space="preserve">By Arts Midwest </w:t>
      </w:r>
      <w:proofErr w:type="gramStart"/>
      <w:r w:rsidRPr="00464C83">
        <w:t>in the event that</w:t>
      </w:r>
      <w:proofErr w:type="gramEnd"/>
      <w:r w:rsidRPr="00464C83">
        <w:t xml:space="preserve"> funding is not forthcoming from the National Endowment for the Arts. Under such circumstances, neither Party shall be liable to the other for payment or damages of any kind or nature.</w:t>
      </w:r>
    </w:p>
    <w:p w14:paraId="2CC77186" w14:textId="5C90BA69" w:rsidR="009E2357" w:rsidRPr="00464C83" w:rsidRDefault="009E2357" w:rsidP="007F7DBC">
      <w:pPr>
        <w:pStyle w:val="Heading1"/>
      </w:pPr>
      <w:r w:rsidRPr="00464C83">
        <w:t xml:space="preserve">Limitation of </w:t>
      </w:r>
      <w:r w:rsidR="007F7DBC">
        <w:t>l</w:t>
      </w:r>
      <w:r w:rsidRPr="00464C83">
        <w:t xml:space="preserve">iability </w:t>
      </w:r>
    </w:p>
    <w:p w14:paraId="7A5AE1BD" w14:textId="77777777" w:rsidR="009E2357" w:rsidRPr="00464C83" w:rsidRDefault="009E2357" w:rsidP="007F7DBC">
      <w:r w:rsidRPr="00464C83">
        <w:t xml:space="preserve">Except with regard to termination of this Agreement, for which there shall be no liability on the part of Arts Midwest, in the event this Agreement is terminated, regardless of the reasons for such termination, in no event with Arts Midwest be liable to the GRANTEE for any special, indirect, incidental, or consequential damages (including without limitation, loss of business or profits) arising out of or in connection with the Agreement, regardless of the theory of liability or cause of action, in excess of either </w:t>
      </w:r>
      <w:r w:rsidRPr="003F30E4">
        <w:rPr>
          <w:b/>
          <w:bCs/>
        </w:rPr>
        <w:t>GRANTEE</w:t>
      </w:r>
      <w:r w:rsidRPr="00464C83">
        <w:t>’s actual, out-of-pocket costs and expenses (properly itemized, documented, and substantiated) or $2,000, whichever is less.</w:t>
      </w:r>
    </w:p>
    <w:p w14:paraId="0B931B7B" w14:textId="6655C5A4" w:rsidR="009E2357" w:rsidRPr="00464C83" w:rsidRDefault="009E2357" w:rsidP="007F7DBC">
      <w:pPr>
        <w:pStyle w:val="Heading1"/>
      </w:pPr>
      <w:r w:rsidRPr="00464C83">
        <w:t xml:space="preserve">GRANTEE’s </w:t>
      </w:r>
      <w:r w:rsidR="007F7DBC">
        <w:t>i</w:t>
      </w:r>
      <w:r w:rsidRPr="00464C83">
        <w:t>ndemnification</w:t>
      </w:r>
    </w:p>
    <w:p w14:paraId="2591EF10" w14:textId="77777777" w:rsidR="009E2357" w:rsidRPr="00464C83" w:rsidRDefault="009E2357" w:rsidP="007F7DBC">
      <w:r w:rsidRPr="00464C83">
        <w:t xml:space="preserve">The </w:t>
      </w:r>
      <w:r w:rsidRPr="003F30E4">
        <w:rPr>
          <w:b/>
          <w:bCs/>
        </w:rPr>
        <w:t>GRANTEE</w:t>
      </w:r>
      <w:r w:rsidRPr="00464C83">
        <w:t xml:space="preserve"> shall indemnify and hold harmless Arts Midwest and the respective successors, assigns, officers, members, directors, agents, contractors, and employees of each of the foregoing, from and against any claims, loss, damages, injuries, liabilities, costs and expenses, however caused, including reasonable attorneys’ fees and court costs actually incurred resulting from or arising out of, wholly or in part any breach of any representation or warranty made by the </w:t>
      </w:r>
      <w:r w:rsidRPr="003F30E4">
        <w:rPr>
          <w:b/>
          <w:bCs/>
        </w:rPr>
        <w:t>GRANTEE</w:t>
      </w:r>
      <w:r w:rsidRPr="00464C83">
        <w:t xml:space="preserve"> under this Agreement or any act or omission of the </w:t>
      </w:r>
      <w:r w:rsidRPr="003F30E4">
        <w:rPr>
          <w:b/>
          <w:bCs/>
        </w:rPr>
        <w:t>GRANTEE</w:t>
      </w:r>
      <w:r w:rsidRPr="00464C83">
        <w:t xml:space="preserve"> and its officers, members, directors, agents, contractors, or employees. The express obligation shall include without limitation all liability, damages, loss, claims, and actions on account of personal injury, death, property loss, libel, defamation, invasion of privacy or right of publicity, or infringement of copyright or trademark.</w:t>
      </w:r>
    </w:p>
    <w:p w14:paraId="6A8D072F" w14:textId="0432EBD9" w:rsidR="009E2357" w:rsidRPr="00464C83" w:rsidRDefault="009E2357" w:rsidP="007F7DBC">
      <w:pPr>
        <w:pStyle w:val="Heading1"/>
      </w:pPr>
      <w:r w:rsidRPr="00464C83">
        <w:lastRenderedPageBreak/>
        <w:t xml:space="preserve">Arts Midwest’s </w:t>
      </w:r>
      <w:r w:rsidR="007F7DBC">
        <w:t>i</w:t>
      </w:r>
      <w:r w:rsidRPr="009E2357">
        <w:t>ndemnification</w:t>
      </w:r>
    </w:p>
    <w:p w14:paraId="3F599621" w14:textId="77777777" w:rsidR="009E2357" w:rsidRPr="00464C83" w:rsidRDefault="009E2357" w:rsidP="007F7DBC">
      <w:r w:rsidRPr="00464C83">
        <w:t xml:space="preserve">Arts Midwest shall indemnify and hold harmless the </w:t>
      </w:r>
      <w:r w:rsidRPr="003F30E4">
        <w:rPr>
          <w:b/>
          <w:bCs/>
        </w:rPr>
        <w:t>GRANTEE</w:t>
      </w:r>
      <w:r w:rsidRPr="00464C83">
        <w:t xml:space="preserve"> and its successors, assigns, officers, members, directors, agents, contractors, and employees from and against any claims, loss, damages, injuries, liabilities, costs and expenses, however caused, including reasonable attorneys’ fees and court costs actually incurred resulting from or arising out of, wholly or in part any breach of any representation or warranty made by the Arts Midwest under this Agreement or any act or omission of the Arts Midwest and its officers, members, directors, agents, contractors, or employees. The express obligation shall include without limitation all liability, damages, loss, claims, and actions on account of personal injury, death, property loss, libel, defamation, invasion of privacy or right of publicity, or infringement of copyright or trademark.</w:t>
      </w:r>
    </w:p>
    <w:p w14:paraId="6AE133B9" w14:textId="77777777" w:rsidR="009E2357" w:rsidRPr="00464C83" w:rsidRDefault="009E2357" w:rsidP="007F7DBC">
      <w:pPr>
        <w:pStyle w:val="Heading1"/>
      </w:pPr>
      <w:r w:rsidRPr="00464C83">
        <w:t>Amendment</w:t>
      </w:r>
    </w:p>
    <w:p w14:paraId="5C8A21D6" w14:textId="77777777" w:rsidR="009E2357" w:rsidRPr="00464C83" w:rsidRDefault="009E2357" w:rsidP="007F7DBC">
      <w:r w:rsidRPr="00464C83">
        <w:t>This Agreement contains the entire understanding of the Parties hereto and supersedes all prior commitments, agreement, or understandings between the Parties with respect to the subject matter hereof, and shall not be waived, modified, or amended except in writing signed by both Parties hereto.</w:t>
      </w:r>
    </w:p>
    <w:p w14:paraId="3A4102A8" w14:textId="77777777" w:rsidR="009E2357" w:rsidRPr="00464C83" w:rsidRDefault="009E2357" w:rsidP="007F7DBC">
      <w:pPr>
        <w:pStyle w:val="Heading1"/>
      </w:pPr>
      <w:r w:rsidRPr="00464C83">
        <w:t>Severability</w:t>
      </w:r>
    </w:p>
    <w:p w14:paraId="6B0FC0CB" w14:textId="77777777" w:rsidR="009E2357" w:rsidRPr="00464C83" w:rsidRDefault="009E2357" w:rsidP="007F7DBC">
      <w:r w:rsidRPr="00464C83">
        <w:t>If any provision of this Agreement is held by a Court of competent jurisdiction to be invalid, void, or unenforceable, the remaining provision shall continue to full force without impaired or invalidated.</w:t>
      </w:r>
    </w:p>
    <w:p w14:paraId="56641CD0" w14:textId="77777777" w:rsidR="009E2357" w:rsidRPr="00464C83" w:rsidRDefault="009E2357" w:rsidP="007F7DBC">
      <w:pPr>
        <w:pStyle w:val="Heading1"/>
      </w:pPr>
      <w:r w:rsidRPr="00464C83">
        <w:t>Waivers</w:t>
      </w:r>
    </w:p>
    <w:p w14:paraId="59B23526" w14:textId="77777777" w:rsidR="009E2357" w:rsidRPr="00464C83" w:rsidRDefault="009E2357" w:rsidP="007F7DBC">
      <w:r w:rsidRPr="00464C83">
        <w:t>No waiver by either Party hereto of any breach by the other Party of any covenant or condition of this Agreement shall be deemed a waiver of any other breach (whether prior to or subsequent) of the same or any other covenant or condition of this or any other agreement.</w:t>
      </w:r>
    </w:p>
    <w:p w14:paraId="24ADC7A0" w14:textId="77777777" w:rsidR="009E2357" w:rsidRPr="00464C83" w:rsidRDefault="009E2357" w:rsidP="007F7DBC">
      <w:pPr>
        <w:pStyle w:val="Heading1"/>
      </w:pPr>
      <w:r w:rsidRPr="00464C83">
        <w:t xml:space="preserve">Binding Agreement </w:t>
      </w:r>
    </w:p>
    <w:p w14:paraId="39D01047" w14:textId="77777777" w:rsidR="009E2357" w:rsidRPr="00464C83" w:rsidRDefault="009E2357" w:rsidP="007F7DBC">
      <w:r w:rsidRPr="00D44415">
        <w:rPr>
          <w:b/>
          <w:bCs/>
        </w:rPr>
        <w:t>GRANTEE</w:t>
      </w:r>
      <w:r w:rsidRPr="00464C83">
        <w:t xml:space="preserve"> agrees to carry out this project in compliance with the terms listed in this Agreement. </w:t>
      </w:r>
      <w:r w:rsidRPr="00D44415">
        <w:rPr>
          <w:b/>
          <w:bCs/>
        </w:rPr>
        <w:t>GRANTEE</w:t>
      </w:r>
      <w:r w:rsidRPr="00464C83">
        <w:t xml:space="preserve"> agrees to notify Arts Midwest in writing of any changes that may impact or require an amendment to this Agreement. </w:t>
      </w:r>
    </w:p>
    <w:p w14:paraId="7E0D54BF" w14:textId="77777777" w:rsidR="009E2357" w:rsidRPr="00464C83" w:rsidRDefault="009E2357" w:rsidP="007F7DBC">
      <w:r w:rsidRPr="00D44415">
        <w:rPr>
          <w:b/>
          <w:bCs/>
        </w:rPr>
        <w:t>GRANTEE</w:t>
      </w:r>
      <w:r w:rsidRPr="00464C83">
        <w:t xml:space="preserve"> further understands and agrees that the grant received from Arts Midwest must be returned in full </w:t>
      </w:r>
      <w:proofErr w:type="gramStart"/>
      <w:r w:rsidRPr="00464C83">
        <w:t>in the event that</w:t>
      </w:r>
      <w:proofErr w:type="gramEnd"/>
      <w:r w:rsidRPr="00464C83">
        <w:t xml:space="preserve"> </w:t>
      </w:r>
      <w:r w:rsidRPr="00D44415">
        <w:rPr>
          <w:b/>
          <w:bCs/>
        </w:rPr>
        <w:t>GRANTEE</w:t>
      </w:r>
      <w:r w:rsidRPr="00464C83">
        <w:t xml:space="preserve"> unilaterally cancels this Agreement. </w:t>
      </w:r>
    </w:p>
    <w:p w14:paraId="6079253C" w14:textId="77777777" w:rsidR="009E2357" w:rsidRPr="00464C83" w:rsidRDefault="009E2357" w:rsidP="007F7DBC">
      <w:pPr>
        <w:pStyle w:val="Heading1"/>
      </w:pPr>
      <w:r w:rsidRPr="00464C83">
        <w:t>Jurisdiction and Disputes</w:t>
      </w:r>
    </w:p>
    <w:p w14:paraId="229666C2" w14:textId="56E4ECC3" w:rsidR="009E2357" w:rsidRDefault="009E2357" w:rsidP="007F7DBC">
      <w:r w:rsidRPr="00464C83">
        <w:t xml:space="preserve">This Agreement shall be construed and interpreted pursuant to the laws of the laws of the State of Minnesota applicable to agreements </w:t>
      </w:r>
      <w:proofErr w:type="gramStart"/>
      <w:r w:rsidRPr="00464C83">
        <w:t>entered into</w:t>
      </w:r>
      <w:proofErr w:type="gramEnd"/>
      <w:r w:rsidRPr="00464C83">
        <w:t xml:space="preserve"> and fully performed in Minnesota. Any action or proceeding between </w:t>
      </w:r>
      <w:r w:rsidRPr="00D44415">
        <w:rPr>
          <w:b/>
          <w:bCs/>
        </w:rPr>
        <w:t>GRANTEE</w:t>
      </w:r>
      <w:r w:rsidRPr="00464C83">
        <w:t xml:space="preserve"> and Arts Midwest relating to this Agreement, whether pertaining to the interpretation or enforceability hereof or others, may only be brought in the State of Minnesota, and both </w:t>
      </w:r>
      <w:proofErr w:type="gramStart"/>
      <w:r w:rsidRPr="00464C83">
        <w:t>parties</w:t>
      </w:r>
      <w:proofErr w:type="gramEnd"/>
      <w:r w:rsidRPr="00464C83">
        <w:t xml:space="preserve"> consent to the </w:t>
      </w:r>
      <w:r w:rsidRPr="00464C83">
        <w:lastRenderedPageBreak/>
        <w:t xml:space="preserve">jurisdiction of the state or federal courts of Minnesota. All disputes or controversies </w:t>
      </w:r>
      <w:proofErr w:type="gramStart"/>
      <w:r w:rsidRPr="00464C83">
        <w:t>in excess of</w:t>
      </w:r>
      <w:proofErr w:type="gramEnd"/>
      <w:r w:rsidRPr="00464C83">
        <w:t xml:space="preserve"> $10,000 arising out of or connected to this Agreement shall be resolved through binding arbitration in Minneapolis, Minnesota under the laws of the State of Minnesota, in accordance with the commercial rules of the American Arbitration Association, and judgment upon the award rendered by the arbitrator(s) may be entered into the highest Court having jurisdiction thereof. All disputes or controversies up to and including the sum of $10,000 shall be resolved in Hennepin County, Minnesota Conciliation Court, </w:t>
      </w:r>
      <w:proofErr w:type="gramStart"/>
      <w:r w:rsidRPr="00464C83">
        <w:t>Appeals</w:t>
      </w:r>
      <w:proofErr w:type="gramEnd"/>
      <w:r w:rsidRPr="00464C83">
        <w:t xml:space="preserve"> of such Conciliation Court decisions shall be resolved through binding arbitration as if the dispute exceeded the sum of $10,000.</w:t>
      </w:r>
      <w:r w:rsidR="00BE1EEE">
        <w:br/>
      </w:r>
    </w:p>
    <w:p w14:paraId="0A9EEC19" w14:textId="77777777" w:rsidR="003377BF" w:rsidRDefault="003377BF" w:rsidP="003377BF">
      <w:pPr>
        <w:pStyle w:val="Heading1"/>
      </w:pPr>
      <w:r>
        <w:t>Attachments</w:t>
      </w:r>
    </w:p>
    <w:p w14:paraId="0DD42592" w14:textId="77777777" w:rsidR="003377BF" w:rsidRDefault="003377BF" w:rsidP="003377BF">
      <w:pPr>
        <w:pStyle w:val="Heading2"/>
      </w:pPr>
      <w:r>
        <w:t>Attachment A: Assurance of Compliance</w:t>
      </w:r>
    </w:p>
    <w:p w14:paraId="1EB20524" w14:textId="2898DB6B" w:rsidR="003377BF" w:rsidRPr="00CC0839" w:rsidRDefault="003377BF" w:rsidP="003377BF">
      <w:pPr>
        <w:rPr>
          <w:color w:val="727174" w:themeColor="text2"/>
        </w:rPr>
      </w:pPr>
      <w:r>
        <w:rPr>
          <w:b/>
          <w:bCs/>
          <w:color w:val="727174" w:themeColor="text2"/>
        </w:rPr>
        <w:t>GRANTEE</w:t>
      </w:r>
      <w:r w:rsidRPr="00CC0839">
        <w:rPr>
          <w:color w:val="727174" w:themeColor="text2"/>
        </w:rPr>
        <w:t xml:space="preserve"> shall comply with all provisions of the </w:t>
      </w:r>
      <w:r w:rsidR="00B43535">
        <w:rPr>
          <w:color w:val="727174" w:themeColor="text2"/>
        </w:rPr>
        <w:t xml:space="preserve">Attachment A: </w:t>
      </w:r>
      <w:r w:rsidRPr="00CC0839">
        <w:rPr>
          <w:color w:val="727174" w:themeColor="text2"/>
        </w:rPr>
        <w:t xml:space="preserve">Assurance of Compliance, which is included and therefore made a part of this </w:t>
      </w:r>
      <w:r w:rsidR="00D54A62">
        <w:rPr>
          <w:color w:val="727174" w:themeColor="text2"/>
        </w:rPr>
        <w:t>A</w:t>
      </w:r>
      <w:r w:rsidRPr="00CC0839">
        <w:rPr>
          <w:color w:val="727174" w:themeColor="text2"/>
        </w:rPr>
        <w:t>greement. These compliances</w:t>
      </w:r>
      <w:r>
        <w:rPr>
          <w:color w:val="727174" w:themeColor="text2"/>
        </w:rPr>
        <w:t xml:space="preserve"> are</w:t>
      </w:r>
      <w:r w:rsidRPr="00CC0839">
        <w:rPr>
          <w:color w:val="727174" w:themeColor="text2"/>
        </w:rPr>
        <w:t xml:space="preserve"> required by Arts Midwest’s </w:t>
      </w:r>
      <w:r>
        <w:rPr>
          <w:color w:val="727174" w:themeColor="text2"/>
        </w:rPr>
        <w:t>f</w:t>
      </w:r>
      <w:r w:rsidRPr="00CC0839">
        <w:rPr>
          <w:color w:val="727174" w:themeColor="text2"/>
        </w:rPr>
        <w:t xml:space="preserve">ederal and state funding sources. </w:t>
      </w:r>
    </w:p>
    <w:p w14:paraId="2E7C0B46" w14:textId="77777777" w:rsidR="003377BF" w:rsidRDefault="003377BF" w:rsidP="003377BF">
      <w:pPr>
        <w:pStyle w:val="Heading2"/>
      </w:pPr>
      <w:r>
        <w:t>Attachment B: Media consent and guidelines</w:t>
      </w:r>
    </w:p>
    <w:p w14:paraId="67C9440F" w14:textId="7E98A629" w:rsidR="003377BF" w:rsidRDefault="003377BF" w:rsidP="003377BF">
      <w:r w:rsidRPr="00E60236">
        <w:rPr>
          <w:b/>
          <w:bCs/>
        </w:rPr>
        <w:t>GRANTEE</w:t>
      </w:r>
      <w:r w:rsidRPr="00E60236">
        <w:t xml:space="preserve"> shall comply with all provisions of Attachment </w:t>
      </w:r>
      <w:r>
        <w:t>B</w:t>
      </w:r>
      <w:r w:rsidRPr="00E60236">
        <w:t xml:space="preserve">: Media Consent and Guidelines which is hereby made a part of this </w:t>
      </w:r>
      <w:r w:rsidR="00D54A62">
        <w:t>A</w:t>
      </w:r>
      <w:r w:rsidRPr="00E60236">
        <w:t xml:space="preserve">greement. </w:t>
      </w:r>
    </w:p>
    <w:p w14:paraId="2F44E62A" w14:textId="77777777" w:rsidR="003377BF" w:rsidRDefault="003377BF" w:rsidP="003377BF">
      <w:pPr>
        <w:pStyle w:val="Heading2"/>
      </w:pPr>
      <w:r>
        <w:t>Attachment C: Changes or Cancellation Requirements</w:t>
      </w:r>
    </w:p>
    <w:p w14:paraId="013EB69F" w14:textId="7A2C6EA9" w:rsidR="003377BF" w:rsidRDefault="003377BF" w:rsidP="003377BF">
      <w:r w:rsidRPr="00B43535">
        <w:rPr>
          <w:b/>
          <w:bCs/>
        </w:rPr>
        <w:t>G</w:t>
      </w:r>
      <w:r w:rsidR="00B43535" w:rsidRPr="00B43535">
        <w:rPr>
          <w:b/>
          <w:bCs/>
        </w:rPr>
        <w:t>RANTEE</w:t>
      </w:r>
      <w:r w:rsidRPr="00145DA6">
        <w:t xml:space="preserve"> shall comply with all provisions of Attachment C: Changes or Cancellation Requirements which is hereby made a part of this </w:t>
      </w:r>
      <w:r w:rsidR="00D54A62">
        <w:t>A</w:t>
      </w:r>
      <w:r w:rsidRPr="00145DA6">
        <w:t xml:space="preserve">greement. Reduction in the project budget may result in reduction of the grant award.  In the event of such a reduction, </w:t>
      </w:r>
      <w:r w:rsidRPr="00145DA6">
        <w:rPr>
          <w:b/>
          <w:bCs/>
        </w:rPr>
        <w:t>GRANTEE</w:t>
      </w:r>
      <w:r w:rsidRPr="00145DA6">
        <w:t xml:space="preserve"> is required to return any award overpayment to </w:t>
      </w:r>
      <w:r>
        <w:t>Arts Midwest</w:t>
      </w:r>
      <w:r w:rsidRPr="00145DA6">
        <w:t>.</w:t>
      </w:r>
    </w:p>
    <w:p w14:paraId="5DF0B1AD" w14:textId="77777777" w:rsidR="003377BF" w:rsidRDefault="003377BF" w:rsidP="003377BF">
      <w:pPr>
        <w:pStyle w:val="Heading2"/>
      </w:pPr>
      <w:r>
        <w:t>Attachment D: Crediting requirements</w:t>
      </w:r>
    </w:p>
    <w:p w14:paraId="75DD115D" w14:textId="6343AF35" w:rsidR="003377BF" w:rsidRDefault="003377BF" w:rsidP="003377BF">
      <w:r w:rsidRPr="00B43535">
        <w:rPr>
          <w:b/>
          <w:bCs/>
        </w:rPr>
        <w:t>G</w:t>
      </w:r>
      <w:r w:rsidR="00B43535">
        <w:rPr>
          <w:b/>
          <w:bCs/>
        </w:rPr>
        <w:t>RANTEE</w:t>
      </w:r>
      <w:r w:rsidRPr="00C33DF1">
        <w:t xml:space="preserve"> shall comply with all provisions of Attachment </w:t>
      </w:r>
      <w:r>
        <w:t>D</w:t>
      </w:r>
      <w:r w:rsidRPr="00C33DF1">
        <w:t xml:space="preserve">: </w:t>
      </w:r>
      <w:r>
        <w:t xml:space="preserve">Crediting </w:t>
      </w:r>
      <w:r w:rsidR="00FA290B">
        <w:t>R</w:t>
      </w:r>
      <w:r>
        <w:t>equirement</w:t>
      </w:r>
      <w:r w:rsidR="00FA290B">
        <w:t>s</w:t>
      </w:r>
      <w:r w:rsidRPr="00C33DF1">
        <w:t xml:space="preserve"> which is hereby made a part of this </w:t>
      </w:r>
      <w:r>
        <w:t>a</w:t>
      </w:r>
      <w:r w:rsidRPr="00C33DF1">
        <w:t xml:space="preserve">greement. These regulations derive from </w:t>
      </w:r>
      <w:r>
        <w:t>Arts Midwest’s</w:t>
      </w:r>
      <w:r w:rsidRPr="00C33DF1">
        <w:t xml:space="preserve"> federal and state funding sources.</w:t>
      </w:r>
    </w:p>
    <w:p w14:paraId="7EF0F2E5" w14:textId="6B5EFAA0" w:rsidR="009E2357" w:rsidRPr="00464C83" w:rsidRDefault="009E2357" w:rsidP="007F7DBC">
      <w:pPr>
        <w:rPr>
          <w:b/>
          <w:bCs/>
        </w:rPr>
      </w:pPr>
      <w:r w:rsidRPr="00741DA7">
        <w:t xml:space="preserve">By signing below, </w:t>
      </w:r>
      <w:r w:rsidRPr="00D041BD">
        <w:rPr>
          <w:b/>
          <w:bCs/>
        </w:rPr>
        <w:t>GRANTEE</w:t>
      </w:r>
      <w:r w:rsidRPr="00741DA7">
        <w:t xml:space="preserve"> has read, understands, and agrees to comply with the terms and conditions in this Grant Agreement with Arts Midwest, on behalf of NEA Big Read. Please electronically sign this Grant Agreement by</w:t>
      </w:r>
      <w:r w:rsidRPr="00464C83">
        <w:rPr>
          <w:b/>
          <w:bCs/>
        </w:rPr>
        <w:t xml:space="preserve"> May </w:t>
      </w:r>
      <w:r w:rsidR="00AA0952">
        <w:rPr>
          <w:b/>
          <w:bCs/>
        </w:rPr>
        <w:t>31</w:t>
      </w:r>
      <w:r w:rsidRPr="00464C83">
        <w:rPr>
          <w:b/>
          <w:bCs/>
        </w:rPr>
        <w:t>, 202</w:t>
      </w:r>
      <w:r w:rsidR="00075F51">
        <w:rPr>
          <w:b/>
          <w:bCs/>
        </w:rPr>
        <w:t>2</w:t>
      </w:r>
      <w:r w:rsidRPr="00464C83">
        <w:rPr>
          <w:b/>
          <w:bCs/>
        </w:rPr>
        <w:t>.</w:t>
      </w:r>
    </w:p>
    <w:p w14:paraId="7CA333E6" w14:textId="77777777" w:rsidR="009E2357" w:rsidRPr="00464C83" w:rsidRDefault="009E2357" w:rsidP="009E2357">
      <w:pPr>
        <w:pStyle w:val="Default"/>
        <w:rPr>
          <w:rFonts w:ascii="Merriweather" w:hAnsi="Merriweather"/>
        </w:rPr>
      </w:pPr>
    </w:p>
    <w:p w14:paraId="1C0AF060" w14:textId="4197B97D" w:rsidR="009E2357" w:rsidRPr="00464C83" w:rsidRDefault="009E2357" w:rsidP="009E2357">
      <w:pPr>
        <w:tabs>
          <w:tab w:val="left" w:pos="2880"/>
        </w:tabs>
        <w:ind w:right="60"/>
        <w:rPr>
          <w:rFonts w:ascii="Merriweather" w:eastAsia="Times New Roman" w:hAnsi="Merriweather"/>
          <w:b/>
        </w:rPr>
      </w:pPr>
      <w:r w:rsidRPr="00464C83">
        <w:rPr>
          <w:rFonts w:ascii="Merriweather" w:eastAsia="Times New Roman" w:hAnsi="Merriweather"/>
          <w:b/>
        </w:rPr>
        <w:t>{{ACCOUNT_NAME}}</w:t>
      </w:r>
      <w:r w:rsidRPr="00464C83">
        <w:rPr>
          <w:rFonts w:ascii="Merriweather" w:hAnsi="Merriweather"/>
        </w:rPr>
        <w:tab/>
      </w:r>
      <w:r w:rsidRPr="00464C83">
        <w:rPr>
          <w:rFonts w:ascii="Merriweather" w:hAnsi="Merriweather"/>
        </w:rPr>
        <w:tab/>
      </w:r>
      <w:r w:rsidRPr="00464C83">
        <w:rPr>
          <w:rFonts w:ascii="Merriweather" w:hAnsi="Merriweather"/>
        </w:rPr>
        <w:tab/>
      </w:r>
      <w:r w:rsidRPr="00464C83">
        <w:rPr>
          <w:rFonts w:ascii="Merriweather" w:hAnsi="Merriweather"/>
        </w:rPr>
        <w:tab/>
        <w:t xml:space="preserve">          </w:t>
      </w:r>
    </w:p>
    <w:tbl>
      <w:tblPr>
        <w:tblW w:w="5490" w:type="dxa"/>
        <w:tblBorders>
          <w:top w:val="single" w:sz="2" w:space="0" w:color="A3A3A3"/>
          <w:left w:val="single" w:sz="2" w:space="0" w:color="A3A3A3"/>
          <w:bottom w:val="single" w:sz="2" w:space="0" w:color="A3A3A3"/>
          <w:right w:val="single" w:sz="2" w:space="0" w:color="A3A3A3"/>
        </w:tblBorders>
        <w:tblLayout w:type="fixed"/>
        <w:tblCellMar>
          <w:left w:w="0" w:type="dxa"/>
          <w:right w:w="0" w:type="dxa"/>
        </w:tblCellMar>
        <w:tblLook w:val="04A0" w:firstRow="1" w:lastRow="0" w:firstColumn="1" w:lastColumn="0" w:noHBand="0" w:noVBand="1"/>
      </w:tblPr>
      <w:tblGrid>
        <w:gridCol w:w="1530"/>
        <w:gridCol w:w="3960"/>
      </w:tblGrid>
      <w:tr w:rsidR="009F1A88" w:rsidRPr="00464C83" w14:paraId="0A6AEFF2" w14:textId="77777777" w:rsidTr="009F1A88">
        <w:tc>
          <w:tcPr>
            <w:tcW w:w="1530" w:type="dxa"/>
            <w:tcBorders>
              <w:top w:val="nil"/>
              <w:left w:val="nil"/>
              <w:bottom w:val="nil"/>
              <w:right w:val="nil"/>
            </w:tcBorders>
            <w:tcMar>
              <w:top w:w="80" w:type="dxa"/>
              <w:left w:w="80" w:type="dxa"/>
              <w:bottom w:w="80" w:type="dxa"/>
              <w:right w:w="80" w:type="dxa"/>
            </w:tcMar>
            <w:hideMark/>
          </w:tcPr>
          <w:p w14:paraId="6AB4430D" w14:textId="77777777" w:rsidR="009F1A88" w:rsidRPr="00464C83" w:rsidRDefault="009F1A88" w:rsidP="00005CF0">
            <w:pPr>
              <w:spacing w:after="0" w:line="240" w:lineRule="auto"/>
              <w:rPr>
                <w:rFonts w:ascii="Merriweather" w:eastAsia="Times New Roman" w:hAnsi="Merriweather" w:cs="Times New Roman"/>
                <w:color w:val="000000"/>
              </w:rPr>
            </w:pPr>
            <w:r w:rsidRPr="00464C83">
              <w:rPr>
                <w:rFonts w:ascii="Merriweather" w:eastAsia="Times New Roman" w:hAnsi="Merriweather" w:cs="Times New Roman"/>
                <w:color w:val="000000"/>
              </w:rPr>
              <w:lastRenderedPageBreak/>
              <w:t>Signature:</w:t>
            </w:r>
          </w:p>
        </w:tc>
        <w:tc>
          <w:tcPr>
            <w:tcW w:w="3960" w:type="dxa"/>
            <w:tcBorders>
              <w:top w:val="nil"/>
              <w:left w:val="nil"/>
              <w:bottom w:val="nil"/>
              <w:right w:val="nil"/>
            </w:tcBorders>
            <w:tcMar>
              <w:top w:w="80" w:type="dxa"/>
              <w:left w:w="80" w:type="dxa"/>
              <w:bottom w:w="80" w:type="dxa"/>
              <w:right w:w="80" w:type="dxa"/>
            </w:tcMar>
            <w:hideMark/>
          </w:tcPr>
          <w:p w14:paraId="207D420F" w14:textId="77777777" w:rsidR="009F1A88" w:rsidRPr="00464C83" w:rsidRDefault="009F1A88" w:rsidP="00005CF0">
            <w:pPr>
              <w:spacing w:after="0" w:line="240" w:lineRule="auto"/>
              <w:rPr>
                <w:rFonts w:ascii="Merriweather" w:eastAsia="Times New Roman" w:hAnsi="Merriweather" w:cs="Times New Roman"/>
                <w:color w:val="CBCBCB"/>
              </w:rPr>
            </w:pPr>
            <w:r w:rsidRPr="00464C83">
              <w:rPr>
                <w:rFonts w:ascii="Merriweather" w:eastAsia="Times New Roman" w:hAnsi="Merriweather" w:cs="Times New Roman"/>
                <w:color w:val="FFFFFF" w:themeColor="background1"/>
              </w:rPr>
              <w:t>\s1\</w:t>
            </w:r>
          </w:p>
        </w:tc>
      </w:tr>
      <w:tr w:rsidR="009F1A88" w:rsidRPr="00464C83" w14:paraId="7422808C" w14:textId="77777777" w:rsidTr="009F1A88">
        <w:tc>
          <w:tcPr>
            <w:tcW w:w="1530" w:type="dxa"/>
            <w:tcBorders>
              <w:top w:val="nil"/>
              <w:left w:val="nil"/>
              <w:bottom w:val="nil"/>
              <w:right w:val="nil"/>
            </w:tcBorders>
            <w:tcMar>
              <w:top w:w="80" w:type="dxa"/>
              <w:left w:w="80" w:type="dxa"/>
              <w:bottom w:w="80" w:type="dxa"/>
              <w:right w:w="80" w:type="dxa"/>
            </w:tcMar>
            <w:hideMark/>
          </w:tcPr>
          <w:p w14:paraId="4383BCD4" w14:textId="77777777" w:rsidR="009F1A88" w:rsidRPr="00464C83" w:rsidRDefault="009F1A88" w:rsidP="00005CF0">
            <w:pPr>
              <w:spacing w:after="0" w:line="240" w:lineRule="auto"/>
              <w:rPr>
                <w:rFonts w:ascii="Merriweather" w:eastAsia="Times New Roman" w:hAnsi="Merriweather" w:cs="Times New Roman"/>
                <w:color w:val="000000"/>
              </w:rPr>
            </w:pPr>
            <w:r w:rsidRPr="00464C83">
              <w:rPr>
                <w:rFonts w:ascii="Merriweather" w:eastAsia="Times New Roman" w:hAnsi="Merriweather" w:cs="Times New Roman"/>
                <w:color w:val="000000"/>
              </w:rPr>
              <w:t>Name:</w:t>
            </w:r>
          </w:p>
        </w:tc>
        <w:tc>
          <w:tcPr>
            <w:tcW w:w="3960" w:type="dxa"/>
            <w:tcBorders>
              <w:top w:val="nil"/>
              <w:left w:val="nil"/>
              <w:bottom w:val="nil"/>
              <w:right w:val="nil"/>
            </w:tcBorders>
            <w:tcMar>
              <w:top w:w="80" w:type="dxa"/>
              <w:left w:w="80" w:type="dxa"/>
              <w:bottom w:w="80" w:type="dxa"/>
              <w:right w:w="80" w:type="dxa"/>
            </w:tcMar>
            <w:hideMark/>
          </w:tcPr>
          <w:p w14:paraId="2FEFE769" w14:textId="77777777" w:rsidR="009F1A88" w:rsidRPr="00464C83" w:rsidRDefault="009F1A88" w:rsidP="00005CF0">
            <w:pPr>
              <w:spacing w:after="0" w:line="240" w:lineRule="auto"/>
              <w:rPr>
                <w:rFonts w:ascii="Merriweather" w:eastAsia="Times New Roman" w:hAnsi="Merriweather" w:cs="Times New Roman"/>
                <w:color w:val="CBCBCB"/>
              </w:rPr>
            </w:pPr>
            <w:r w:rsidRPr="00464C83">
              <w:rPr>
                <w:rFonts w:ascii="Merriweather" w:eastAsia="Times New Roman" w:hAnsi="Merriweather" w:cs="Times New Roman"/>
                <w:color w:val="FFFFFF" w:themeColor="background1"/>
              </w:rPr>
              <w:t>\n1\</w:t>
            </w:r>
          </w:p>
        </w:tc>
      </w:tr>
      <w:tr w:rsidR="009F1A88" w:rsidRPr="00464C83" w14:paraId="4FD445A8" w14:textId="77777777" w:rsidTr="009F1A88">
        <w:tc>
          <w:tcPr>
            <w:tcW w:w="1530" w:type="dxa"/>
            <w:tcBorders>
              <w:top w:val="nil"/>
              <w:left w:val="nil"/>
              <w:bottom w:val="nil"/>
              <w:right w:val="nil"/>
            </w:tcBorders>
            <w:tcMar>
              <w:top w:w="80" w:type="dxa"/>
              <w:left w:w="80" w:type="dxa"/>
              <w:bottom w:w="80" w:type="dxa"/>
              <w:right w:w="80" w:type="dxa"/>
            </w:tcMar>
            <w:hideMark/>
          </w:tcPr>
          <w:p w14:paraId="6AAA7584" w14:textId="77777777" w:rsidR="009F1A88" w:rsidRPr="00464C83" w:rsidRDefault="009F1A88" w:rsidP="00005CF0">
            <w:pPr>
              <w:spacing w:after="0" w:line="240" w:lineRule="auto"/>
              <w:rPr>
                <w:rFonts w:ascii="Merriweather" w:eastAsia="Times New Roman" w:hAnsi="Merriweather" w:cs="Times New Roman"/>
                <w:color w:val="000000"/>
              </w:rPr>
            </w:pPr>
            <w:r w:rsidRPr="00464C83">
              <w:rPr>
                <w:rFonts w:ascii="Merriweather" w:eastAsia="Times New Roman" w:hAnsi="Merriweather" w:cs="Times New Roman"/>
                <w:color w:val="000000"/>
              </w:rPr>
              <w:t>Title:</w:t>
            </w:r>
          </w:p>
        </w:tc>
        <w:tc>
          <w:tcPr>
            <w:tcW w:w="3960" w:type="dxa"/>
            <w:tcBorders>
              <w:top w:val="nil"/>
              <w:left w:val="nil"/>
              <w:bottom w:val="nil"/>
              <w:right w:val="nil"/>
            </w:tcBorders>
            <w:tcMar>
              <w:top w:w="80" w:type="dxa"/>
              <w:left w:w="80" w:type="dxa"/>
              <w:bottom w:w="80" w:type="dxa"/>
              <w:right w:w="80" w:type="dxa"/>
            </w:tcMar>
            <w:hideMark/>
          </w:tcPr>
          <w:p w14:paraId="286B3022" w14:textId="77777777" w:rsidR="009F1A88" w:rsidRPr="00464C83" w:rsidRDefault="009F1A88" w:rsidP="00005CF0">
            <w:pPr>
              <w:spacing w:after="0" w:line="240" w:lineRule="auto"/>
              <w:rPr>
                <w:rFonts w:ascii="Merriweather" w:eastAsia="Times New Roman" w:hAnsi="Merriweather" w:cs="Times New Roman"/>
                <w:color w:val="CBCBCB"/>
              </w:rPr>
            </w:pPr>
            <w:r w:rsidRPr="00464C83">
              <w:rPr>
                <w:rFonts w:ascii="Merriweather" w:eastAsia="Times New Roman" w:hAnsi="Merriweather" w:cs="Times New Roman"/>
                <w:color w:val="FFFFFF" w:themeColor="background1"/>
              </w:rPr>
              <w:t>\t1\</w:t>
            </w:r>
          </w:p>
        </w:tc>
      </w:tr>
      <w:tr w:rsidR="009F1A88" w:rsidRPr="00464C83" w14:paraId="5CF495FA" w14:textId="77777777" w:rsidTr="009F1A88">
        <w:tc>
          <w:tcPr>
            <w:tcW w:w="1530" w:type="dxa"/>
            <w:tcBorders>
              <w:top w:val="nil"/>
              <w:left w:val="nil"/>
              <w:bottom w:val="nil"/>
              <w:right w:val="nil"/>
            </w:tcBorders>
            <w:tcMar>
              <w:top w:w="80" w:type="dxa"/>
              <w:left w:w="80" w:type="dxa"/>
              <w:bottom w:w="80" w:type="dxa"/>
              <w:right w:w="80" w:type="dxa"/>
            </w:tcMar>
            <w:hideMark/>
          </w:tcPr>
          <w:p w14:paraId="1D81231D" w14:textId="77777777" w:rsidR="009F1A88" w:rsidRPr="00464C83" w:rsidRDefault="009F1A88" w:rsidP="00005CF0">
            <w:pPr>
              <w:spacing w:after="0" w:line="240" w:lineRule="auto"/>
              <w:rPr>
                <w:rFonts w:ascii="Merriweather" w:eastAsia="Times New Roman" w:hAnsi="Merriweather" w:cs="Times New Roman"/>
                <w:color w:val="000000"/>
              </w:rPr>
            </w:pPr>
            <w:r w:rsidRPr="00464C83">
              <w:rPr>
                <w:rFonts w:ascii="Merriweather" w:eastAsia="Times New Roman" w:hAnsi="Merriweather" w:cs="Times New Roman"/>
                <w:color w:val="000000"/>
              </w:rPr>
              <w:t>Date:</w:t>
            </w:r>
          </w:p>
        </w:tc>
        <w:tc>
          <w:tcPr>
            <w:tcW w:w="3960" w:type="dxa"/>
            <w:tcBorders>
              <w:top w:val="nil"/>
              <w:left w:val="nil"/>
              <w:bottom w:val="nil"/>
              <w:right w:val="nil"/>
            </w:tcBorders>
            <w:tcMar>
              <w:top w:w="80" w:type="dxa"/>
              <w:left w:w="80" w:type="dxa"/>
              <w:bottom w:w="80" w:type="dxa"/>
              <w:right w:w="80" w:type="dxa"/>
            </w:tcMar>
            <w:hideMark/>
          </w:tcPr>
          <w:p w14:paraId="7E2CC448" w14:textId="77777777" w:rsidR="009F1A88" w:rsidRPr="00464C83" w:rsidRDefault="009F1A88" w:rsidP="00005CF0">
            <w:pPr>
              <w:spacing w:after="0" w:line="240" w:lineRule="auto"/>
              <w:rPr>
                <w:rFonts w:ascii="Merriweather" w:eastAsia="Times New Roman" w:hAnsi="Merriweather" w:cs="Times New Roman"/>
                <w:color w:val="CBCBCB"/>
              </w:rPr>
            </w:pPr>
            <w:r w:rsidRPr="00464C83">
              <w:rPr>
                <w:rFonts w:ascii="Merriweather" w:eastAsia="Times New Roman" w:hAnsi="Merriweather" w:cs="Times New Roman"/>
                <w:color w:val="FFFFFF" w:themeColor="background1"/>
              </w:rPr>
              <w:t>\d1\</w:t>
            </w:r>
          </w:p>
        </w:tc>
      </w:tr>
    </w:tbl>
    <w:p w14:paraId="2D237465" w14:textId="74B3CA52" w:rsidR="009E2357" w:rsidRDefault="009E2357" w:rsidP="009E2357">
      <w:pPr>
        <w:pStyle w:val="Default"/>
        <w:rPr>
          <w:rFonts w:ascii="Merriweather" w:hAnsi="Merriweather"/>
        </w:rPr>
      </w:pPr>
    </w:p>
    <w:p w14:paraId="3065AACB" w14:textId="47560317" w:rsidR="009F1A88" w:rsidRDefault="009F1A88" w:rsidP="009E2357">
      <w:pPr>
        <w:pStyle w:val="Default"/>
        <w:rPr>
          <w:rFonts w:ascii="Merriweather" w:hAnsi="Merriweather"/>
        </w:rPr>
      </w:pPr>
      <w:r w:rsidRPr="00464C83">
        <w:rPr>
          <w:rFonts w:ascii="Merriweather" w:hAnsi="Merriweather"/>
          <w:b/>
        </w:rPr>
        <w:t>Arts Midwest</w:t>
      </w:r>
    </w:p>
    <w:tbl>
      <w:tblPr>
        <w:tblW w:w="7384" w:type="dxa"/>
        <w:tblBorders>
          <w:top w:val="single" w:sz="2" w:space="0" w:color="A3A3A3"/>
          <w:left w:val="single" w:sz="2" w:space="0" w:color="A3A3A3"/>
          <w:bottom w:val="single" w:sz="2" w:space="0" w:color="A3A3A3"/>
          <w:right w:val="single" w:sz="2" w:space="0" w:color="A3A3A3"/>
        </w:tblBorders>
        <w:tblLayout w:type="fixed"/>
        <w:tblCellMar>
          <w:left w:w="0" w:type="dxa"/>
          <w:right w:w="0" w:type="dxa"/>
        </w:tblCellMar>
        <w:tblLook w:val="04A0" w:firstRow="1" w:lastRow="0" w:firstColumn="1" w:lastColumn="0" w:noHBand="0" w:noVBand="1"/>
      </w:tblPr>
      <w:tblGrid>
        <w:gridCol w:w="2790"/>
        <w:gridCol w:w="4594"/>
      </w:tblGrid>
      <w:tr w:rsidR="009F1A88" w:rsidRPr="00464C83" w14:paraId="1B8AF2E5" w14:textId="77777777" w:rsidTr="00CD5882">
        <w:trPr>
          <w:trHeight w:val="246"/>
        </w:trPr>
        <w:tc>
          <w:tcPr>
            <w:tcW w:w="2790" w:type="dxa"/>
            <w:tcBorders>
              <w:top w:val="nil"/>
              <w:left w:val="nil"/>
              <w:bottom w:val="nil"/>
              <w:right w:val="nil"/>
            </w:tcBorders>
            <w:tcMar>
              <w:top w:w="80" w:type="dxa"/>
              <w:left w:w="80" w:type="dxa"/>
              <w:bottom w:w="80" w:type="dxa"/>
              <w:right w:w="80" w:type="dxa"/>
            </w:tcMar>
            <w:hideMark/>
          </w:tcPr>
          <w:p w14:paraId="15D3035F" w14:textId="77777777" w:rsidR="009F1A88" w:rsidRPr="00464C83" w:rsidRDefault="009F1A88" w:rsidP="00005CF0">
            <w:pPr>
              <w:spacing w:after="0" w:line="240" w:lineRule="auto"/>
              <w:rPr>
                <w:rFonts w:ascii="Merriweather" w:eastAsia="Times New Roman" w:hAnsi="Merriweather" w:cs="Times New Roman"/>
              </w:rPr>
            </w:pPr>
            <w:r w:rsidRPr="00464C83">
              <w:rPr>
                <w:rFonts w:ascii="Merriweather" w:eastAsia="Times New Roman" w:hAnsi="Merriweather" w:cs="Times New Roman"/>
              </w:rPr>
              <w:t>Signature:</w:t>
            </w:r>
            <w:r>
              <w:rPr>
                <w:rFonts w:ascii="Merriweather" w:eastAsia="Times New Roman" w:hAnsi="Merriweather" w:cs="Times New Roman"/>
              </w:rPr>
              <w:t xml:space="preserve">  </w:t>
            </w:r>
          </w:p>
        </w:tc>
        <w:tc>
          <w:tcPr>
            <w:tcW w:w="4594" w:type="dxa"/>
            <w:tcBorders>
              <w:top w:val="nil"/>
              <w:left w:val="nil"/>
              <w:bottom w:val="nil"/>
              <w:right w:val="nil"/>
            </w:tcBorders>
            <w:tcMar>
              <w:top w:w="80" w:type="dxa"/>
              <w:left w:w="80" w:type="dxa"/>
              <w:bottom w:w="80" w:type="dxa"/>
              <w:right w:w="80" w:type="dxa"/>
            </w:tcMar>
            <w:hideMark/>
          </w:tcPr>
          <w:p w14:paraId="5B350197" w14:textId="77777777" w:rsidR="009F1A88" w:rsidRPr="00464C83" w:rsidRDefault="009F1A88" w:rsidP="00005CF0">
            <w:pPr>
              <w:spacing w:after="0" w:line="240" w:lineRule="auto"/>
              <w:rPr>
                <w:rFonts w:ascii="Merriweather" w:eastAsia="Times New Roman" w:hAnsi="Merriweather" w:cs="Times New Roman"/>
                <w:color w:val="CBCBCB"/>
              </w:rPr>
            </w:pPr>
            <w:r w:rsidRPr="00464C83">
              <w:rPr>
                <w:rFonts w:ascii="Merriweather" w:eastAsia="Times New Roman" w:hAnsi="Merriweather" w:cs="Times New Roman"/>
                <w:color w:val="FFFFFF" w:themeColor="background1"/>
              </w:rPr>
              <w:t>\s2\</w:t>
            </w:r>
          </w:p>
        </w:tc>
      </w:tr>
      <w:tr w:rsidR="009F1A88" w:rsidRPr="00464C83" w14:paraId="25523BAF" w14:textId="77777777" w:rsidTr="00CD5882">
        <w:trPr>
          <w:trHeight w:val="246"/>
        </w:trPr>
        <w:tc>
          <w:tcPr>
            <w:tcW w:w="2790" w:type="dxa"/>
            <w:tcBorders>
              <w:top w:val="nil"/>
              <w:left w:val="nil"/>
              <w:bottom w:val="nil"/>
              <w:right w:val="nil"/>
            </w:tcBorders>
            <w:tcMar>
              <w:top w:w="80" w:type="dxa"/>
              <w:left w:w="80" w:type="dxa"/>
              <w:bottom w:w="80" w:type="dxa"/>
              <w:right w:w="80" w:type="dxa"/>
            </w:tcMar>
            <w:hideMark/>
          </w:tcPr>
          <w:p w14:paraId="3C950A64" w14:textId="77777777" w:rsidR="009F1A88" w:rsidRPr="00464C83" w:rsidRDefault="009F1A88" w:rsidP="00005CF0">
            <w:pPr>
              <w:spacing w:after="0" w:line="240" w:lineRule="auto"/>
              <w:rPr>
                <w:rFonts w:ascii="Merriweather" w:eastAsia="Times New Roman" w:hAnsi="Merriweather" w:cs="Times New Roman"/>
              </w:rPr>
            </w:pPr>
            <w:r w:rsidRPr="00464C83">
              <w:rPr>
                <w:rFonts w:ascii="Merriweather" w:eastAsia="Times New Roman" w:hAnsi="Merriweather" w:cs="Times New Roman"/>
              </w:rPr>
              <w:t>Name:</w:t>
            </w:r>
          </w:p>
        </w:tc>
        <w:tc>
          <w:tcPr>
            <w:tcW w:w="4594" w:type="dxa"/>
            <w:tcBorders>
              <w:top w:val="nil"/>
              <w:left w:val="nil"/>
              <w:bottom w:val="nil"/>
              <w:right w:val="nil"/>
            </w:tcBorders>
            <w:tcMar>
              <w:top w:w="80" w:type="dxa"/>
              <w:left w:w="80" w:type="dxa"/>
              <w:bottom w:w="80" w:type="dxa"/>
              <w:right w:w="80" w:type="dxa"/>
            </w:tcMar>
            <w:hideMark/>
          </w:tcPr>
          <w:p w14:paraId="3CBC77F1" w14:textId="3D311715" w:rsidR="009F1A88" w:rsidRPr="00464C83" w:rsidRDefault="009F1A88" w:rsidP="00005CF0">
            <w:pPr>
              <w:spacing w:after="0" w:line="240" w:lineRule="auto"/>
              <w:rPr>
                <w:rFonts w:ascii="Merriweather" w:eastAsia="Times New Roman" w:hAnsi="Merriweather" w:cs="Times New Roman"/>
              </w:rPr>
            </w:pPr>
            <w:r>
              <w:rPr>
                <w:rFonts w:ascii="Merriweather" w:eastAsia="Times New Roman" w:hAnsi="Merriweather" w:cs="Times New Roman"/>
              </w:rPr>
              <w:t>Joshua Feist</w:t>
            </w:r>
          </w:p>
        </w:tc>
      </w:tr>
      <w:tr w:rsidR="009F1A88" w:rsidRPr="00464C83" w14:paraId="198930B3" w14:textId="77777777" w:rsidTr="00CD5882">
        <w:trPr>
          <w:trHeight w:val="493"/>
        </w:trPr>
        <w:tc>
          <w:tcPr>
            <w:tcW w:w="2790" w:type="dxa"/>
            <w:tcBorders>
              <w:top w:val="nil"/>
              <w:left w:val="nil"/>
              <w:bottom w:val="nil"/>
              <w:right w:val="nil"/>
            </w:tcBorders>
            <w:tcMar>
              <w:top w:w="80" w:type="dxa"/>
              <w:left w:w="80" w:type="dxa"/>
              <w:bottom w:w="80" w:type="dxa"/>
              <w:right w:w="80" w:type="dxa"/>
            </w:tcMar>
            <w:hideMark/>
          </w:tcPr>
          <w:p w14:paraId="5EC867F6" w14:textId="77777777" w:rsidR="009F1A88" w:rsidRPr="00464C83" w:rsidRDefault="009F1A88" w:rsidP="00005CF0">
            <w:pPr>
              <w:spacing w:after="0" w:line="240" w:lineRule="auto"/>
              <w:rPr>
                <w:rFonts w:ascii="Merriweather" w:eastAsia="Times New Roman" w:hAnsi="Merriweather" w:cs="Times New Roman"/>
              </w:rPr>
            </w:pPr>
            <w:r w:rsidRPr="00464C83">
              <w:rPr>
                <w:rFonts w:ascii="Merriweather" w:eastAsia="Times New Roman" w:hAnsi="Merriweather" w:cs="Times New Roman"/>
              </w:rPr>
              <w:t>Title:</w:t>
            </w:r>
          </w:p>
        </w:tc>
        <w:tc>
          <w:tcPr>
            <w:tcW w:w="4594" w:type="dxa"/>
            <w:tcBorders>
              <w:top w:val="nil"/>
              <w:left w:val="nil"/>
              <w:bottom w:val="nil"/>
              <w:right w:val="nil"/>
            </w:tcBorders>
            <w:tcMar>
              <w:top w:w="80" w:type="dxa"/>
              <w:left w:w="80" w:type="dxa"/>
              <w:bottom w:w="80" w:type="dxa"/>
              <w:right w:w="80" w:type="dxa"/>
            </w:tcMar>
            <w:hideMark/>
          </w:tcPr>
          <w:p w14:paraId="49493BD5" w14:textId="574D5E0E" w:rsidR="009F1A88" w:rsidRPr="00464C83" w:rsidRDefault="009F1A88" w:rsidP="00005CF0">
            <w:pPr>
              <w:spacing w:after="0" w:line="240" w:lineRule="auto"/>
              <w:rPr>
                <w:rFonts w:ascii="Merriweather" w:eastAsia="Times New Roman" w:hAnsi="Merriweather" w:cs="Times New Roman"/>
              </w:rPr>
            </w:pPr>
            <w:r>
              <w:rPr>
                <w:rFonts w:ascii="Merriweather" w:eastAsia="Times New Roman" w:hAnsi="Merriweather" w:cs="Times New Roman"/>
              </w:rPr>
              <w:t xml:space="preserve">Director of </w:t>
            </w:r>
            <w:r w:rsidR="00CD5882">
              <w:rPr>
                <w:rFonts w:ascii="Merriweather" w:eastAsia="Times New Roman" w:hAnsi="Merriweather" w:cs="Times New Roman"/>
              </w:rPr>
              <w:t>Community Support</w:t>
            </w:r>
          </w:p>
        </w:tc>
      </w:tr>
      <w:tr w:rsidR="009F1A88" w:rsidRPr="00464C83" w14:paraId="15CC472B" w14:textId="77777777" w:rsidTr="00CD5882">
        <w:trPr>
          <w:trHeight w:val="246"/>
        </w:trPr>
        <w:tc>
          <w:tcPr>
            <w:tcW w:w="2790" w:type="dxa"/>
            <w:tcBorders>
              <w:top w:val="nil"/>
              <w:left w:val="nil"/>
              <w:bottom w:val="nil"/>
              <w:right w:val="nil"/>
            </w:tcBorders>
            <w:tcMar>
              <w:top w:w="80" w:type="dxa"/>
              <w:left w:w="80" w:type="dxa"/>
              <w:bottom w:w="80" w:type="dxa"/>
              <w:right w:w="80" w:type="dxa"/>
            </w:tcMar>
            <w:hideMark/>
          </w:tcPr>
          <w:p w14:paraId="3F1E0018" w14:textId="77777777" w:rsidR="009F1A88" w:rsidRPr="00464C83" w:rsidRDefault="009F1A88" w:rsidP="00005CF0">
            <w:pPr>
              <w:spacing w:after="0" w:line="240" w:lineRule="auto"/>
              <w:rPr>
                <w:rFonts w:ascii="Merriweather" w:eastAsia="Times New Roman" w:hAnsi="Merriweather" w:cs="Times New Roman"/>
              </w:rPr>
            </w:pPr>
            <w:r w:rsidRPr="00464C83">
              <w:rPr>
                <w:rFonts w:ascii="Merriweather" w:eastAsia="Times New Roman" w:hAnsi="Merriweather" w:cs="Times New Roman"/>
              </w:rPr>
              <w:t xml:space="preserve">Date: </w:t>
            </w:r>
          </w:p>
        </w:tc>
        <w:tc>
          <w:tcPr>
            <w:tcW w:w="4594" w:type="dxa"/>
            <w:tcBorders>
              <w:top w:val="nil"/>
              <w:left w:val="nil"/>
              <w:bottom w:val="nil"/>
              <w:right w:val="nil"/>
            </w:tcBorders>
            <w:tcMar>
              <w:top w:w="80" w:type="dxa"/>
              <w:left w:w="80" w:type="dxa"/>
              <w:bottom w:w="80" w:type="dxa"/>
              <w:right w:w="80" w:type="dxa"/>
            </w:tcMar>
            <w:hideMark/>
          </w:tcPr>
          <w:p w14:paraId="7CF673FA" w14:textId="77777777" w:rsidR="009F1A88" w:rsidRPr="00464C83" w:rsidRDefault="009F1A88" w:rsidP="00005CF0">
            <w:pPr>
              <w:spacing w:after="0" w:line="240" w:lineRule="auto"/>
              <w:rPr>
                <w:rFonts w:ascii="Merriweather" w:eastAsia="Times New Roman" w:hAnsi="Merriweather" w:cs="Times New Roman"/>
                <w:color w:val="CBCBCB"/>
              </w:rPr>
            </w:pPr>
            <w:r w:rsidRPr="00464C83">
              <w:rPr>
                <w:rFonts w:ascii="Merriweather" w:eastAsia="Times New Roman" w:hAnsi="Merriweather" w:cs="Times New Roman"/>
                <w:color w:val="FFFFFF" w:themeColor="background1"/>
              </w:rPr>
              <w:t>\d2\</w:t>
            </w:r>
          </w:p>
        </w:tc>
      </w:tr>
    </w:tbl>
    <w:p w14:paraId="6B361BBD" w14:textId="77777777" w:rsidR="009F1A88" w:rsidRPr="00464C83" w:rsidRDefault="009F1A88" w:rsidP="009E2357">
      <w:pPr>
        <w:pStyle w:val="Default"/>
        <w:rPr>
          <w:rFonts w:ascii="Merriweather" w:hAnsi="Merriweather"/>
        </w:rPr>
      </w:pPr>
    </w:p>
    <w:p w14:paraId="44351D89" w14:textId="77777777" w:rsidR="009E2357" w:rsidRDefault="009E2357" w:rsidP="007F7DBC">
      <w:r w:rsidRPr="00464C83">
        <w:t xml:space="preserve">A </w:t>
      </w:r>
      <w:proofErr w:type="gramStart"/>
      <w:r w:rsidRPr="00464C83">
        <w:t>fully-executed</w:t>
      </w:r>
      <w:proofErr w:type="gramEnd"/>
      <w:r w:rsidRPr="00464C83">
        <w:t xml:space="preserve"> copy will be emailed to </w:t>
      </w:r>
      <w:r w:rsidRPr="00D041BD">
        <w:rPr>
          <w:b/>
          <w:bCs/>
        </w:rPr>
        <w:t>GRANTEE</w:t>
      </w:r>
      <w:r w:rsidRPr="00464C83">
        <w:t xml:space="preserve"> once countersigned by Arts Midwest.</w:t>
      </w:r>
    </w:p>
    <w:p w14:paraId="44BAD840" w14:textId="77777777" w:rsidR="009E2357" w:rsidRDefault="009E2357" w:rsidP="009E2357">
      <w:pPr>
        <w:pStyle w:val="SansSerif"/>
        <w:rPr>
          <w:rFonts w:ascii="Merriweather" w:hAnsi="Merriweather" w:cs="Times New Roman"/>
          <w:sz w:val="22"/>
        </w:rPr>
      </w:pPr>
    </w:p>
    <w:p w14:paraId="4F06F407" w14:textId="77777777" w:rsidR="009E2357" w:rsidRDefault="009E2357" w:rsidP="009E2357">
      <w:pPr>
        <w:pStyle w:val="SansSerif"/>
        <w:rPr>
          <w:rFonts w:ascii="Merriweather" w:hAnsi="Merriweather" w:cs="Times New Roman"/>
          <w:sz w:val="22"/>
        </w:rPr>
      </w:pPr>
    </w:p>
    <w:p w14:paraId="58CC9625" w14:textId="77777777" w:rsidR="009E2357" w:rsidRDefault="009E2357" w:rsidP="009E2357">
      <w:pPr>
        <w:pStyle w:val="SansSerif"/>
        <w:rPr>
          <w:rFonts w:ascii="Merriweather" w:hAnsi="Merriweather" w:cs="Times New Roman"/>
          <w:sz w:val="22"/>
        </w:rPr>
      </w:pPr>
    </w:p>
    <w:p w14:paraId="3BA8EEF8" w14:textId="77777777" w:rsidR="009E2357" w:rsidRDefault="009E2357" w:rsidP="009E2357">
      <w:pPr>
        <w:pStyle w:val="SansSerif"/>
        <w:rPr>
          <w:rFonts w:ascii="Merriweather" w:hAnsi="Merriweather" w:cs="Times New Roman"/>
          <w:sz w:val="22"/>
        </w:rPr>
      </w:pPr>
    </w:p>
    <w:p w14:paraId="6521C7FA" w14:textId="553FD2DB" w:rsidR="007F7DBC" w:rsidRDefault="007F7DBC" w:rsidP="009E2357">
      <w:pPr>
        <w:pStyle w:val="Introduction"/>
      </w:pPr>
    </w:p>
    <w:p w14:paraId="0C8900B7" w14:textId="674FAF5F" w:rsidR="007114F2" w:rsidRDefault="007114F2" w:rsidP="009E2357">
      <w:pPr>
        <w:pStyle w:val="Introduction"/>
      </w:pPr>
    </w:p>
    <w:p w14:paraId="7707BC4E" w14:textId="7ECFF2A5" w:rsidR="00EC3693" w:rsidRDefault="00EC3693" w:rsidP="009E2357">
      <w:pPr>
        <w:pStyle w:val="Introduction"/>
      </w:pPr>
    </w:p>
    <w:p w14:paraId="0A9C9CF4" w14:textId="353DFD9B" w:rsidR="00EC3693" w:rsidRDefault="00EC3693" w:rsidP="009E2357">
      <w:pPr>
        <w:pStyle w:val="Introduction"/>
      </w:pPr>
    </w:p>
    <w:p w14:paraId="7ED02BF2" w14:textId="77777777" w:rsidR="0063541B" w:rsidRDefault="0063541B">
      <w:pPr>
        <w:rPr>
          <w:rFonts w:ascii="Montserrat" w:eastAsia="Times New Roman" w:hAnsi="Montserrat" w:cs="Segoe UI"/>
          <w:b/>
          <w:bCs/>
          <w:color w:val="DA1472" w:themeColor="accent5" w:themeShade="BF"/>
          <w:sz w:val="48"/>
          <w:szCs w:val="48"/>
        </w:rPr>
      </w:pPr>
      <w:r>
        <w:rPr>
          <w:sz w:val="48"/>
          <w:szCs w:val="48"/>
        </w:rPr>
        <w:br w:type="page"/>
      </w:r>
    </w:p>
    <w:p w14:paraId="5F24F437" w14:textId="1428DDC3" w:rsidR="00BE1EEE" w:rsidRDefault="00BE1EEE" w:rsidP="00BE1EEE">
      <w:pPr>
        <w:pStyle w:val="Title"/>
        <w:rPr>
          <w:sz w:val="48"/>
          <w:szCs w:val="48"/>
        </w:rPr>
      </w:pPr>
      <w:r>
        <w:rPr>
          <w:sz w:val="48"/>
          <w:szCs w:val="48"/>
        </w:rPr>
        <w:lastRenderedPageBreak/>
        <w:t>Attachment A: Assurance of Compliance</w:t>
      </w:r>
    </w:p>
    <w:p w14:paraId="15334397" w14:textId="77777777" w:rsidR="00BE1EEE" w:rsidRPr="00BE1EEE" w:rsidRDefault="00BE1EEE" w:rsidP="00BE1EEE"/>
    <w:p w14:paraId="2D08D260" w14:textId="77777777" w:rsidR="009E2357" w:rsidRPr="00464C83" w:rsidRDefault="009E2357" w:rsidP="009E2357">
      <w:pPr>
        <w:rPr>
          <w:rFonts w:ascii="Merriweather" w:hAnsi="Merriweather" w:cs="Times New Roman"/>
          <w:sz w:val="20"/>
          <w:szCs w:val="20"/>
        </w:rPr>
      </w:pPr>
      <w:r w:rsidRPr="00464C83">
        <w:rPr>
          <w:rFonts w:ascii="Merriweather" w:hAnsi="Merriweather" w:cs="Times New Roman"/>
          <w:sz w:val="20"/>
          <w:szCs w:val="20"/>
        </w:rPr>
        <w:t>NEA Big Read is supported by funds that derive from Federal funds (</w:t>
      </w:r>
      <w:r w:rsidRPr="00464C83">
        <w:rPr>
          <w:rFonts w:ascii="Merriweather" w:hAnsi="Merriweather" w:cs="Times New Roman"/>
          <w:b/>
          <w:sz w:val="20"/>
          <w:szCs w:val="20"/>
        </w:rPr>
        <w:t>CFDA #45.024</w:t>
      </w:r>
      <w:r w:rsidRPr="00464C83">
        <w:rPr>
          <w:rFonts w:ascii="Merriweather" w:hAnsi="Merriweather" w:cs="Times New Roman"/>
          <w:sz w:val="20"/>
          <w:szCs w:val="20"/>
        </w:rPr>
        <w:t xml:space="preserve">) from the National Endowment for the Arts. All selected organizations must comply with the following national policies and legal requirements, statutes, and regulations, including the </w:t>
      </w:r>
      <w:hyperlink r:id="rId15" w:anchor="sp2.1.200.e" w:history="1">
        <w:r w:rsidRPr="00464C83">
          <w:rPr>
            <w:rStyle w:val="Hyperlink"/>
            <w:rFonts w:ascii="Merriweather" w:hAnsi="Merriweather" w:cs="Times New Roman"/>
            <w:sz w:val="20"/>
            <w:szCs w:val="20"/>
          </w:rPr>
          <w:t>Uniform Guidance for Federal Awards</w:t>
        </w:r>
      </w:hyperlink>
      <w:r w:rsidRPr="00464C83">
        <w:rPr>
          <w:rFonts w:ascii="Merriweather" w:hAnsi="Merriweather" w:cs="Times New Roman"/>
          <w:sz w:val="20"/>
          <w:szCs w:val="20"/>
        </w:rPr>
        <w:t xml:space="preserve"> (2 CFR).</w:t>
      </w:r>
    </w:p>
    <w:p w14:paraId="467B6A51" w14:textId="58AA2D18" w:rsidR="009E2357" w:rsidRPr="00464C83" w:rsidRDefault="009E2357" w:rsidP="0196602A">
      <w:pPr>
        <w:numPr>
          <w:ilvl w:val="0"/>
          <w:numId w:val="2"/>
        </w:numPr>
        <w:tabs>
          <w:tab w:val="clear" w:pos="1080"/>
          <w:tab w:val="num" w:pos="450"/>
        </w:tabs>
        <w:spacing w:after="0" w:line="240" w:lineRule="auto"/>
        <w:ind w:left="450" w:hanging="450"/>
        <w:rPr>
          <w:rFonts w:ascii="Merriweather" w:hAnsi="Merriweather" w:cs="Times New Roman"/>
          <w:b/>
          <w:bCs/>
          <w:sz w:val="20"/>
          <w:szCs w:val="20"/>
        </w:rPr>
      </w:pPr>
      <w:r w:rsidRPr="0196602A">
        <w:rPr>
          <w:rFonts w:ascii="Merriweather" w:hAnsi="Merriweather" w:cs="Times New Roman"/>
          <w:b/>
          <w:bCs/>
          <w:sz w:val="20"/>
          <w:szCs w:val="20"/>
        </w:rPr>
        <w:t xml:space="preserve">Required registration </w:t>
      </w:r>
      <w:r w:rsidRPr="0196602A">
        <w:rPr>
          <w:rFonts w:ascii="Merriweather" w:hAnsi="Merriweather" w:cs="Times New Roman"/>
          <w:sz w:val="20"/>
          <w:szCs w:val="20"/>
        </w:rPr>
        <w:t>Organizations are required to have a UEI with SAM.gov (Unique Entity Identifier) that reflects the organization’s legal name and current physical address. This is a free ID to obtain at the System for Award Manage</w:t>
      </w:r>
      <w:r w:rsidR="0196602A" w:rsidRPr="0196602A">
        <w:rPr>
          <w:rFonts w:ascii="Merriweather" w:hAnsi="Merriweather" w:cs="Times New Roman"/>
          <w:sz w:val="20"/>
          <w:szCs w:val="20"/>
        </w:rPr>
        <w:t>ment (SAM.gov).</w:t>
      </w:r>
    </w:p>
    <w:p w14:paraId="07AA88AC" w14:textId="77777777" w:rsidR="009E2357" w:rsidRPr="00464C83" w:rsidRDefault="009E2357" w:rsidP="00B136D5">
      <w:pPr>
        <w:numPr>
          <w:ilvl w:val="0"/>
          <w:numId w:val="2"/>
        </w:numPr>
        <w:tabs>
          <w:tab w:val="clear" w:pos="1080"/>
        </w:tabs>
        <w:spacing w:after="0" w:line="240" w:lineRule="auto"/>
        <w:ind w:left="450" w:hanging="450"/>
        <w:rPr>
          <w:rFonts w:ascii="Merriweather" w:hAnsi="Merriweather" w:cs="Times New Roman"/>
          <w:sz w:val="20"/>
          <w:szCs w:val="20"/>
        </w:rPr>
      </w:pPr>
      <w:r w:rsidRPr="00464C83">
        <w:rPr>
          <w:rFonts w:ascii="Merriweather" w:hAnsi="Merriweather" w:cs="Times New Roman"/>
          <w:b/>
          <w:sz w:val="20"/>
          <w:szCs w:val="20"/>
        </w:rPr>
        <w:t>Nondiscrimination Policies</w:t>
      </w:r>
      <w:r w:rsidRPr="00464C83">
        <w:rPr>
          <w:rFonts w:ascii="Merriweather" w:hAnsi="Merriweather" w:cs="Times New Roman"/>
          <w:sz w:val="20"/>
          <w:szCs w:val="20"/>
        </w:rPr>
        <w:t xml:space="preserve"> As a condition of receipt of Federal financial assistance, the awarded organization must acknowledge and agree to execute the project (</w:t>
      </w:r>
      <w:proofErr w:type="gramStart"/>
      <w:r w:rsidRPr="00464C83">
        <w:rPr>
          <w:rFonts w:ascii="Merriweather" w:hAnsi="Merriweather" w:cs="Times New Roman"/>
          <w:sz w:val="20"/>
          <w:szCs w:val="20"/>
        </w:rPr>
        <w:t>e.g.</w:t>
      </w:r>
      <w:proofErr w:type="gramEnd"/>
      <w:r w:rsidRPr="00464C83">
        <w:rPr>
          <w:rFonts w:ascii="Merriweather" w:hAnsi="Merriweather" w:cs="Times New Roman"/>
          <w:sz w:val="20"/>
          <w:szCs w:val="20"/>
        </w:rPr>
        <w:t xml:space="preserve"> productions, workshops, engagements, programs, etc.) and require any contractors, successors, and assignees to comply with applicable provisions of national laws and policies prohibiting discrimination, including but not limited to:</w:t>
      </w:r>
    </w:p>
    <w:p w14:paraId="3449E52F" w14:textId="77777777" w:rsidR="009E2357" w:rsidRPr="00464C83" w:rsidRDefault="009E2357" w:rsidP="00B136D5">
      <w:pPr>
        <w:numPr>
          <w:ilvl w:val="1"/>
          <w:numId w:val="2"/>
        </w:numPr>
        <w:tabs>
          <w:tab w:val="clear" w:pos="1440"/>
          <w:tab w:val="left" w:pos="1350"/>
        </w:tabs>
        <w:spacing w:after="0" w:line="240" w:lineRule="auto"/>
        <w:ind w:left="810"/>
        <w:rPr>
          <w:rFonts w:ascii="Merriweather" w:hAnsi="Merriweather" w:cs="Times New Roman"/>
          <w:sz w:val="20"/>
          <w:szCs w:val="20"/>
        </w:rPr>
      </w:pPr>
      <w:r w:rsidRPr="00464C83">
        <w:rPr>
          <w:rFonts w:ascii="Merriweather" w:hAnsi="Merriweather" w:cs="Times New Roman"/>
          <w:b/>
          <w:sz w:val="20"/>
          <w:szCs w:val="20"/>
        </w:rPr>
        <w:t>Section 504 of the Rehabilitation Act of 1973, as amended,</w:t>
      </w:r>
      <w:r w:rsidRPr="00464C83">
        <w:rPr>
          <w:rFonts w:ascii="Merriweather" w:hAnsi="Merriweather" w:cs="Times New Roman"/>
          <w:sz w:val="20"/>
          <w:szCs w:val="20"/>
        </w:rPr>
        <w:t xml:space="preserve"> (</w:t>
      </w:r>
      <w:hyperlink r:id="rId16" w:history="1">
        <w:r w:rsidRPr="00464C83">
          <w:rPr>
            <w:rStyle w:val="Hyperlink"/>
            <w:rFonts w:ascii="Merriweather" w:hAnsi="Merriweather" w:cs="Times New Roman"/>
            <w:sz w:val="20"/>
            <w:szCs w:val="20"/>
          </w:rPr>
          <w:t>29 U.S.C. 794</w:t>
        </w:r>
      </w:hyperlink>
      <w:r w:rsidRPr="00464C83">
        <w:rPr>
          <w:rFonts w:ascii="Merriweather" w:hAnsi="Merriweather" w:cs="Times New Roman"/>
          <w:sz w:val="20"/>
          <w:szCs w:val="20"/>
        </w:rPr>
        <w:t>), provides that no otherwise qualified individual with a disability in the United States shall, solely by reason of his/her disability, be excluded from participation in, be denied benefits of, or be subject to discrimination under any program or activities supported by Federal funds.</w:t>
      </w:r>
    </w:p>
    <w:p w14:paraId="11EA067B" w14:textId="77777777" w:rsidR="009E2357" w:rsidRPr="00464C83" w:rsidRDefault="009E2357" w:rsidP="00B136D5">
      <w:pPr>
        <w:numPr>
          <w:ilvl w:val="1"/>
          <w:numId w:val="2"/>
        </w:numPr>
        <w:tabs>
          <w:tab w:val="clear" w:pos="1440"/>
          <w:tab w:val="left" w:pos="1350"/>
        </w:tabs>
        <w:spacing w:after="0" w:line="240" w:lineRule="auto"/>
        <w:ind w:left="810"/>
        <w:rPr>
          <w:rFonts w:ascii="Merriweather" w:hAnsi="Merriweather" w:cs="Times New Roman"/>
          <w:b/>
          <w:sz w:val="20"/>
          <w:szCs w:val="20"/>
        </w:rPr>
      </w:pPr>
      <w:r w:rsidRPr="00464C83">
        <w:rPr>
          <w:rFonts w:ascii="Merriweather" w:hAnsi="Merriweather" w:cs="Times New Roman"/>
          <w:b/>
          <w:sz w:val="20"/>
          <w:szCs w:val="20"/>
        </w:rPr>
        <w:t>Section 504 Self-Evaluation and Additional Resources</w:t>
      </w:r>
    </w:p>
    <w:p w14:paraId="5A075E52" w14:textId="77777777" w:rsidR="009E2357" w:rsidRPr="00464C83" w:rsidRDefault="009E2357" w:rsidP="00B136D5">
      <w:pPr>
        <w:numPr>
          <w:ilvl w:val="2"/>
          <w:numId w:val="2"/>
        </w:numPr>
        <w:tabs>
          <w:tab w:val="left" w:pos="1350"/>
        </w:tabs>
        <w:spacing w:after="0" w:line="240" w:lineRule="auto"/>
        <w:ind w:left="1260"/>
        <w:rPr>
          <w:rFonts w:ascii="Merriweather" w:hAnsi="Merriweather" w:cs="Times New Roman"/>
          <w:sz w:val="20"/>
          <w:szCs w:val="20"/>
        </w:rPr>
      </w:pPr>
      <w:r w:rsidRPr="00464C83">
        <w:rPr>
          <w:rFonts w:ascii="Merriweather" w:hAnsi="Merriweather" w:cs="Times New Roman"/>
          <w:sz w:val="20"/>
          <w:szCs w:val="20"/>
        </w:rPr>
        <w:t xml:space="preserve">A Section 504 self-evaluation must be on file at the organization. It assists in evaluating programs, activities, and facilities to ensure full compliance with Section 504 accessibility requirements; the Civil Rights Office has provided a “Section 504 Self-Evaluation Workbook” found at </w:t>
      </w:r>
      <w:hyperlink r:id="rId17" w:history="1">
        <w:r w:rsidRPr="00464C83">
          <w:rPr>
            <w:rStyle w:val="Hyperlink"/>
            <w:rFonts w:ascii="Merriweather" w:hAnsi="Merriweather" w:cs="Times New Roman"/>
            <w:sz w:val="20"/>
            <w:szCs w:val="20"/>
          </w:rPr>
          <w:t>https://www.arts.gov/open-government/civil-rights-office/section-504-self-evaluation-workbook</w:t>
        </w:r>
      </w:hyperlink>
      <w:r w:rsidRPr="00464C83">
        <w:rPr>
          <w:rFonts w:ascii="Merriweather" w:hAnsi="Merriweather" w:cs="Times New Roman"/>
          <w:sz w:val="20"/>
          <w:szCs w:val="20"/>
        </w:rPr>
        <w:t xml:space="preserve">. </w:t>
      </w:r>
    </w:p>
    <w:p w14:paraId="67BA4E1F" w14:textId="77777777" w:rsidR="009E2357" w:rsidRPr="00464C83" w:rsidRDefault="009E2357" w:rsidP="00B136D5">
      <w:pPr>
        <w:numPr>
          <w:ilvl w:val="2"/>
          <w:numId w:val="2"/>
        </w:numPr>
        <w:tabs>
          <w:tab w:val="left" w:pos="1350"/>
        </w:tabs>
        <w:spacing w:after="0" w:line="240" w:lineRule="auto"/>
        <w:ind w:left="1260"/>
        <w:rPr>
          <w:rFonts w:ascii="Merriweather" w:hAnsi="Merriweather" w:cs="Times New Roman"/>
          <w:sz w:val="20"/>
          <w:szCs w:val="20"/>
        </w:rPr>
      </w:pPr>
      <w:r w:rsidRPr="00464C83">
        <w:rPr>
          <w:rFonts w:ascii="Merriweather" w:hAnsi="Merriweather" w:cs="Times New Roman"/>
          <w:sz w:val="20"/>
          <w:szCs w:val="20"/>
        </w:rPr>
        <w:t xml:space="preserve">A staff member should be designated as the 504 </w:t>
      </w:r>
      <w:proofErr w:type="gramStart"/>
      <w:r w:rsidRPr="00464C83">
        <w:rPr>
          <w:rFonts w:ascii="Merriweather" w:hAnsi="Merriweather" w:cs="Times New Roman"/>
          <w:sz w:val="20"/>
          <w:szCs w:val="20"/>
        </w:rPr>
        <w:t>coordinator</w:t>
      </w:r>
      <w:proofErr w:type="gramEnd"/>
      <w:r w:rsidRPr="00464C83">
        <w:rPr>
          <w:rFonts w:ascii="Merriweather" w:hAnsi="Merriweather" w:cs="Times New Roman"/>
          <w:sz w:val="20"/>
          <w:szCs w:val="20"/>
        </w:rPr>
        <w:t>. The completed workbook or similar compliance and supporting documentation should be kept on file for a period of three years from the date a Final Report is filed and made available to the public and Arts Midwest upon request.</w:t>
      </w:r>
    </w:p>
    <w:p w14:paraId="7153EF66" w14:textId="77777777" w:rsidR="009E2357" w:rsidRPr="00464C83" w:rsidRDefault="009E2357" w:rsidP="00B136D5">
      <w:pPr>
        <w:numPr>
          <w:ilvl w:val="2"/>
          <w:numId w:val="2"/>
        </w:numPr>
        <w:tabs>
          <w:tab w:val="left" w:pos="1350"/>
        </w:tabs>
        <w:spacing w:after="0" w:line="240" w:lineRule="auto"/>
        <w:ind w:left="1260"/>
        <w:rPr>
          <w:rFonts w:ascii="Merriweather" w:hAnsi="Merriweather" w:cs="Times New Roman"/>
          <w:sz w:val="20"/>
          <w:szCs w:val="20"/>
        </w:rPr>
      </w:pPr>
      <w:r w:rsidRPr="00464C83">
        <w:rPr>
          <w:rFonts w:ascii="Merriweather" w:hAnsi="Merriweather" w:cs="Times New Roman"/>
          <w:sz w:val="20"/>
          <w:szCs w:val="20"/>
        </w:rPr>
        <w:t xml:space="preserve">Additional resources can also be found at </w:t>
      </w:r>
      <w:hyperlink r:id="rId18" w:history="1">
        <w:r w:rsidRPr="00464C83">
          <w:rPr>
            <w:rStyle w:val="Hyperlink"/>
            <w:rFonts w:ascii="Merriweather" w:hAnsi="Merriweather" w:cs="Times New Roman"/>
            <w:sz w:val="20"/>
            <w:szCs w:val="20"/>
          </w:rPr>
          <w:t>https://www.artsmidwest.org/resources/accessibility</w:t>
        </w:r>
      </w:hyperlink>
      <w:r w:rsidRPr="00464C83">
        <w:rPr>
          <w:rFonts w:ascii="Merriweather" w:hAnsi="Merriweather" w:cs="Times New Roman"/>
          <w:sz w:val="20"/>
          <w:szCs w:val="20"/>
        </w:rPr>
        <w:t xml:space="preserve">. </w:t>
      </w:r>
    </w:p>
    <w:p w14:paraId="3C140AB9" w14:textId="77777777" w:rsidR="009E2357" w:rsidRPr="00464C83" w:rsidRDefault="009E2357" w:rsidP="00B136D5">
      <w:pPr>
        <w:numPr>
          <w:ilvl w:val="1"/>
          <w:numId w:val="2"/>
        </w:numPr>
        <w:tabs>
          <w:tab w:val="clear" w:pos="1440"/>
          <w:tab w:val="left" w:pos="1350"/>
        </w:tabs>
        <w:spacing w:after="0" w:line="240" w:lineRule="auto"/>
        <w:ind w:left="810"/>
        <w:rPr>
          <w:rFonts w:ascii="Merriweather" w:hAnsi="Merriweather" w:cs="Times New Roman"/>
          <w:sz w:val="20"/>
          <w:szCs w:val="20"/>
        </w:rPr>
      </w:pPr>
      <w:r w:rsidRPr="00464C83">
        <w:rPr>
          <w:rFonts w:ascii="Merriweather" w:hAnsi="Merriweather" w:cs="Times New Roman"/>
          <w:b/>
          <w:sz w:val="20"/>
          <w:szCs w:val="20"/>
        </w:rPr>
        <w:t xml:space="preserve">Americans with Disabilities Act of 1990, as amended, </w:t>
      </w:r>
      <w:r w:rsidRPr="00464C83">
        <w:rPr>
          <w:rFonts w:ascii="Merriweather" w:hAnsi="Merriweather" w:cs="Times New Roman"/>
          <w:sz w:val="20"/>
          <w:szCs w:val="20"/>
        </w:rPr>
        <w:t>(</w:t>
      </w:r>
      <w:hyperlink r:id="rId19" w:history="1">
        <w:r w:rsidRPr="00464C83">
          <w:rPr>
            <w:rStyle w:val="Hyperlink"/>
            <w:rFonts w:ascii="Merriweather" w:hAnsi="Merriweather" w:cs="Times New Roman"/>
            <w:sz w:val="20"/>
            <w:szCs w:val="20"/>
          </w:rPr>
          <w:t>42 U.S.C. 12101-12213</w:t>
        </w:r>
      </w:hyperlink>
      <w:r w:rsidRPr="00464C83">
        <w:rPr>
          <w:rFonts w:ascii="Merriweather" w:hAnsi="Merriweather" w:cs="Times New Roman"/>
          <w:sz w:val="20"/>
          <w:szCs w:val="20"/>
        </w:rPr>
        <w:t xml:space="preserve">), prohibits discrimination </w:t>
      </w:r>
      <w:proofErr w:type="gramStart"/>
      <w:r w:rsidRPr="00464C83">
        <w:rPr>
          <w:rFonts w:ascii="Merriweather" w:hAnsi="Merriweather" w:cs="Times New Roman"/>
          <w:sz w:val="20"/>
          <w:szCs w:val="20"/>
        </w:rPr>
        <w:t>on the basis of</w:t>
      </w:r>
      <w:proofErr w:type="gramEnd"/>
      <w:r w:rsidRPr="00464C83">
        <w:rPr>
          <w:rFonts w:ascii="Merriweather" w:hAnsi="Merriweather" w:cs="Times New Roman"/>
          <w:sz w:val="20"/>
          <w:szCs w:val="20"/>
        </w:rPr>
        <w:t xml:space="preserve"> disability in employment (Title I); State and local government services (Title II); and places of public accommodation and commercial facilities (Title III).</w:t>
      </w:r>
    </w:p>
    <w:p w14:paraId="67EC3FFC" w14:textId="77777777" w:rsidR="009E2357" w:rsidRPr="00464C83" w:rsidRDefault="009E2357" w:rsidP="00B136D5">
      <w:pPr>
        <w:numPr>
          <w:ilvl w:val="1"/>
          <w:numId w:val="2"/>
        </w:numPr>
        <w:tabs>
          <w:tab w:val="clear" w:pos="1440"/>
          <w:tab w:val="left" w:pos="1350"/>
        </w:tabs>
        <w:spacing w:after="0" w:line="240" w:lineRule="auto"/>
        <w:ind w:left="810"/>
        <w:rPr>
          <w:rFonts w:ascii="Merriweather" w:hAnsi="Merriweather" w:cs="Times New Roman"/>
          <w:sz w:val="20"/>
          <w:szCs w:val="20"/>
        </w:rPr>
      </w:pPr>
      <w:r w:rsidRPr="00464C83">
        <w:rPr>
          <w:rFonts w:ascii="Merriweather" w:hAnsi="Merriweather" w:cs="Times New Roman"/>
          <w:b/>
          <w:sz w:val="20"/>
          <w:szCs w:val="20"/>
        </w:rPr>
        <w:t>Title VI of the Civil Rights Act of 1964, as amended,</w:t>
      </w:r>
      <w:r w:rsidRPr="00464C83">
        <w:rPr>
          <w:rFonts w:ascii="Merriweather" w:hAnsi="Merriweather" w:cs="Times New Roman"/>
          <w:color w:val="000099"/>
          <w:sz w:val="20"/>
          <w:szCs w:val="20"/>
        </w:rPr>
        <w:t xml:space="preserve"> </w:t>
      </w:r>
      <w:r w:rsidRPr="00464C83">
        <w:rPr>
          <w:rFonts w:ascii="Merriweather" w:hAnsi="Merriweather" w:cs="Times New Roman"/>
          <w:sz w:val="20"/>
          <w:szCs w:val="20"/>
        </w:rPr>
        <w:t>(</w:t>
      </w:r>
      <w:hyperlink r:id="rId20" w:history="1">
        <w:r w:rsidRPr="00464C83">
          <w:rPr>
            <w:rStyle w:val="Hyperlink"/>
            <w:rFonts w:ascii="Merriweather" w:hAnsi="Merriweather" w:cs="Times New Roman"/>
            <w:sz w:val="20"/>
            <w:szCs w:val="20"/>
          </w:rPr>
          <w:t>42 U.S.C 2000d et seq</w:t>
        </w:r>
      </w:hyperlink>
      <w:r w:rsidRPr="00464C83">
        <w:rPr>
          <w:rFonts w:ascii="Merriweather" w:hAnsi="Merriweather" w:cs="Times New Roman"/>
          <w:sz w:val="20"/>
          <w:szCs w:val="20"/>
        </w:rPr>
        <w:t>.), provides that no person in the United States shall, on the grounds of race, color, or national origin, be excluded from participation in, be denied benefits of, or be subject to discrimination under any program or activity supported by Federal funds. Title VI extends protection to persons with limited English proficiency.</w:t>
      </w:r>
    </w:p>
    <w:p w14:paraId="6D5F8C26" w14:textId="77777777" w:rsidR="009E2357" w:rsidRPr="00464C83" w:rsidRDefault="009E2357" w:rsidP="00B136D5">
      <w:pPr>
        <w:numPr>
          <w:ilvl w:val="1"/>
          <w:numId w:val="2"/>
        </w:numPr>
        <w:tabs>
          <w:tab w:val="clear" w:pos="1440"/>
        </w:tabs>
        <w:spacing w:after="0" w:line="240" w:lineRule="auto"/>
        <w:ind w:left="810" w:hanging="450"/>
        <w:rPr>
          <w:rFonts w:ascii="Merriweather" w:hAnsi="Merriweather" w:cs="Times New Roman"/>
          <w:sz w:val="20"/>
          <w:szCs w:val="20"/>
        </w:rPr>
      </w:pPr>
      <w:r w:rsidRPr="00464C83">
        <w:rPr>
          <w:rFonts w:ascii="Merriweather" w:hAnsi="Merriweather" w:cs="Times New Roman"/>
          <w:b/>
          <w:sz w:val="20"/>
          <w:szCs w:val="20"/>
        </w:rPr>
        <w:t>Executive order 13166, Improving Access to Services for Persons with Limited English Proficiency</w:t>
      </w:r>
      <w:r w:rsidRPr="00464C83">
        <w:rPr>
          <w:rFonts w:ascii="Merriweather" w:hAnsi="Merriweather" w:cs="Times New Roman"/>
          <w:sz w:val="20"/>
          <w:szCs w:val="20"/>
        </w:rPr>
        <w:t xml:space="preserve">, national origin discrimination includes discrimination </w:t>
      </w:r>
      <w:proofErr w:type="gramStart"/>
      <w:r w:rsidRPr="00464C83">
        <w:rPr>
          <w:rFonts w:ascii="Merriweather" w:hAnsi="Merriweather" w:cs="Times New Roman"/>
          <w:sz w:val="20"/>
          <w:szCs w:val="20"/>
        </w:rPr>
        <w:t>on the basis of</w:t>
      </w:r>
      <w:proofErr w:type="gramEnd"/>
      <w:r w:rsidRPr="00464C83">
        <w:rPr>
          <w:rFonts w:ascii="Merriweather" w:hAnsi="Merriweather" w:cs="Times New Roman"/>
          <w:sz w:val="20"/>
          <w:szCs w:val="20"/>
        </w:rPr>
        <w:t xml:space="preserve"> limited English proficiency (LEP). To ensure compliance with Title VI, an organization must take reasonable steps to ensure that LEP persons have meaningful access to your programs. Meaningful access may entail providing language assistance services, including oral and written translation, where necessary. Your organization is encouraged to consider the need for language services for LEP persons in conducting your program and activities. For assistance and information go to </w:t>
      </w:r>
      <w:hyperlink r:id="rId21" w:history="1">
        <w:r w:rsidRPr="00464C83">
          <w:rPr>
            <w:rStyle w:val="Hyperlink"/>
            <w:rFonts w:ascii="Merriweather" w:hAnsi="Merriweather" w:cs="Times New Roman"/>
            <w:sz w:val="20"/>
            <w:szCs w:val="20"/>
          </w:rPr>
          <w:t>http://arts.gov/foia/reading-room/nea-limited-english-proficiency-policy-guidance</w:t>
        </w:r>
      </w:hyperlink>
      <w:r w:rsidRPr="00464C83">
        <w:rPr>
          <w:rFonts w:ascii="Merriweather" w:hAnsi="Merriweather" w:cs="Times New Roman"/>
        </w:rPr>
        <w:t xml:space="preserve"> </w:t>
      </w:r>
    </w:p>
    <w:p w14:paraId="05907356" w14:textId="77777777" w:rsidR="009E2357" w:rsidRPr="00464C83" w:rsidRDefault="009E2357" w:rsidP="00B136D5">
      <w:pPr>
        <w:numPr>
          <w:ilvl w:val="1"/>
          <w:numId w:val="2"/>
        </w:numPr>
        <w:tabs>
          <w:tab w:val="clear" w:pos="1440"/>
          <w:tab w:val="left" w:pos="1350"/>
        </w:tabs>
        <w:spacing w:after="0" w:line="240" w:lineRule="auto"/>
        <w:ind w:left="810"/>
        <w:rPr>
          <w:rFonts w:ascii="Merriweather" w:hAnsi="Merriweather" w:cs="Times New Roman"/>
          <w:sz w:val="20"/>
          <w:szCs w:val="20"/>
        </w:rPr>
      </w:pPr>
      <w:r w:rsidRPr="00464C83">
        <w:rPr>
          <w:rFonts w:ascii="Merriweather" w:hAnsi="Merriweather" w:cs="Times New Roman"/>
          <w:b/>
          <w:sz w:val="20"/>
          <w:szCs w:val="20"/>
        </w:rPr>
        <w:t>Title IX of the Education Amendments of 1972, as amended,</w:t>
      </w:r>
      <w:r w:rsidRPr="00464C83">
        <w:rPr>
          <w:rFonts w:ascii="Merriweather" w:hAnsi="Merriweather" w:cs="Times New Roman"/>
          <w:color w:val="000099"/>
          <w:sz w:val="20"/>
          <w:szCs w:val="20"/>
        </w:rPr>
        <w:t xml:space="preserve"> </w:t>
      </w:r>
      <w:r w:rsidRPr="00464C83">
        <w:rPr>
          <w:rFonts w:ascii="Merriweather" w:hAnsi="Merriweather" w:cs="Times New Roman"/>
          <w:sz w:val="20"/>
          <w:szCs w:val="20"/>
        </w:rPr>
        <w:t>(</w:t>
      </w:r>
      <w:hyperlink r:id="rId22" w:history="1">
        <w:r w:rsidRPr="00464C83">
          <w:rPr>
            <w:rStyle w:val="Hyperlink"/>
            <w:rFonts w:ascii="Merriweather" w:hAnsi="Merriweather" w:cs="Times New Roman"/>
            <w:sz w:val="20"/>
            <w:szCs w:val="20"/>
          </w:rPr>
          <w:t>20 U.S.C. 1681 et seq</w:t>
        </w:r>
      </w:hyperlink>
      <w:r w:rsidRPr="00464C83">
        <w:rPr>
          <w:rFonts w:ascii="Merriweather" w:hAnsi="Merriweather" w:cs="Times New Roman"/>
          <w:sz w:val="20"/>
          <w:szCs w:val="20"/>
        </w:rPr>
        <w:t>.), provides that no person in the United States shall, on the basis of sex, be excluded from participation in, be denied benefits of, or be subject to discrimination under any education program or activity supported by Federal funds.</w:t>
      </w:r>
    </w:p>
    <w:p w14:paraId="11A56284" w14:textId="77777777" w:rsidR="009E2357" w:rsidRPr="00464C83" w:rsidRDefault="009E2357" w:rsidP="00B136D5">
      <w:pPr>
        <w:numPr>
          <w:ilvl w:val="1"/>
          <w:numId w:val="2"/>
        </w:numPr>
        <w:tabs>
          <w:tab w:val="clear" w:pos="1440"/>
          <w:tab w:val="left" w:pos="1350"/>
        </w:tabs>
        <w:spacing w:after="0" w:line="240" w:lineRule="auto"/>
        <w:ind w:left="810"/>
        <w:rPr>
          <w:rFonts w:ascii="Merriweather" w:hAnsi="Merriweather" w:cs="Times New Roman"/>
          <w:sz w:val="20"/>
          <w:szCs w:val="20"/>
        </w:rPr>
      </w:pPr>
      <w:r w:rsidRPr="00464C83">
        <w:rPr>
          <w:rFonts w:ascii="Merriweather" w:hAnsi="Merriweather" w:cs="Times New Roman"/>
          <w:b/>
          <w:sz w:val="20"/>
          <w:szCs w:val="20"/>
        </w:rPr>
        <w:t>Age Discrimination Act of 1975, as amended,</w:t>
      </w:r>
      <w:r w:rsidRPr="00464C83">
        <w:rPr>
          <w:rFonts w:ascii="Merriweather" w:hAnsi="Merriweather" w:cs="Times New Roman"/>
          <w:color w:val="000099"/>
          <w:sz w:val="20"/>
          <w:szCs w:val="20"/>
        </w:rPr>
        <w:t xml:space="preserve"> </w:t>
      </w:r>
      <w:r w:rsidRPr="00464C83">
        <w:rPr>
          <w:rFonts w:ascii="Merriweather" w:hAnsi="Merriweather" w:cs="Times New Roman"/>
          <w:sz w:val="20"/>
          <w:szCs w:val="20"/>
        </w:rPr>
        <w:t>(</w:t>
      </w:r>
      <w:hyperlink r:id="rId23" w:history="1">
        <w:r w:rsidRPr="00464C83">
          <w:rPr>
            <w:rStyle w:val="Hyperlink"/>
            <w:rFonts w:ascii="Merriweather" w:hAnsi="Merriweather" w:cs="Times New Roman"/>
            <w:sz w:val="20"/>
            <w:szCs w:val="20"/>
          </w:rPr>
          <w:t>42 U.S.C. 6101 et seq</w:t>
        </w:r>
      </w:hyperlink>
      <w:r w:rsidRPr="00464C83">
        <w:rPr>
          <w:rFonts w:ascii="Merriweather" w:hAnsi="Merriweather" w:cs="Times New Roman"/>
          <w:sz w:val="20"/>
          <w:szCs w:val="20"/>
        </w:rPr>
        <w:t>.), provides that no person in the United States shall, on the basis of age, be excluded from participation in, be denied benefits of, or be subject to discrimination under any program or activity receiving Federal financial assistance.</w:t>
      </w:r>
    </w:p>
    <w:p w14:paraId="10C1253E" w14:textId="77777777" w:rsidR="009E2357" w:rsidRPr="00464C83" w:rsidRDefault="009E2357" w:rsidP="00B136D5">
      <w:pPr>
        <w:numPr>
          <w:ilvl w:val="0"/>
          <w:numId w:val="2"/>
        </w:numPr>
        <w:tabs>
          <w:tab w:val="clear" w:pos="1080"/>
        </w:tabs>
        <w:spacing w:after="0" w:line="240" w:lineRule="auto"/>
        <w:ind w:left="450" w:hanging="450"/>
        <w:rPr>
          <w:rFonts w:ascii="Merriweather" w:hAnsi="Merriweather" w:cs="Times New Roman"/>
          <w:sz w:val="20"/>
          <w:szCs w:val="20"/>
        </w:rPr>
      </w:pPr>
      <w:r w:rsidRPr="00464C83">
        <w:rPr>
          <w:rFonts w:ascii="Merriweather" w:hAnsi="Merriweather" w:cs="Times New Roman"/>
          <w:b/>
          <w:sz w:val="20"/>
          <w:szCs w:val="20"/>
        </w:rPr>
        <w:lastRenderedPageBreak/>
        <w:t>Environmental and Preservation Policies</w:t>
      </w:r>
    </w:p>
    <w:p w14:paraId="5CBE7358" w14:textId="77777777" w:rsidR="009E2357" w:rsidRPr="00464C83" w:rsidRDefault="009E2357" w:rsidP="00B136D5">
      <w:pPr>
        <w:pStyle w:val="ListParagraph"/>
        <w:numPr>
          <w:ilvl w:val="0"/>
          <w:numId w:val="3"/>
        </w:numPr>
        <w:spacing w:after="0" w:line="240" w:lineRule="auto"/>
        <w:ind w:left="810"/>
        <w:rPr>
          <w:rFonts w:ascii="Merriweather" w:hAnsi="Merriweather" w:cs="Times New Roman"/>
          <w:sz w:val="20"/>
          <w:szCs w:val="20"/>
        </w:rPr>
      </w:pPr>
      <w:r w:rsidRPr="00464C83">
        <w:rPr>
          <w:rFonts w:ascii="Merriweather" w:hAnsi="Merriweather" w:cs="Times New Roman"/>
          <w:b/>
          <w:sz w:val="20"/>
          <w:szCs w:val="20"/>
        </w:rPr>
        <w:t xml:space="preserve">National Environmental Policy Act of 1969, as amended, </w:t>
      </w:r>
      <w:r w:rsidRPr="00464C83">
        <w:rPr>
          <w:rFonts w:ascii="Merriweather" w:hAnsi="Merriweather" w:cs="Times New Roman"/>
          <w:sz w:val="20"/>
          <w:szCs w:val="20"/>
        </w:rPr>
        <w:t>applies to any project supported by Federal funds that would support an activity that may have environmental implications. (</w:t>
      </w:r>
      <w:hyperlink r:id="rId24" w:history="1">
        <w:r w:rsidRPr="00464C83">
          <w:rPr>
            <w:rStyle w:val="Hyperlink"/>
            <w:rFonts w:ascii="Merriweather" w:hAnsi="Merriweather" w:cs="Times New Roman"/>
            <w:sz w:val="20"/>
            <w:szCs w:val="20"/>
          </w:rPr>
          <w:t>42 U.S.C. Section 4332</w:t>
        </w:r>
      </w:hyperlink>
      <w:r w:rsidRPr="00464C83">
        <w:rPr>
          <w:rStyle w:val="Hyperlink"/>
          <w:rFonts w:ascii="Merriweather" w:hAnsi="Merriweather" w:cs="Times New Roman"/>
          <w:sz w:val="20"/>
          <w:szCs w:val="20"/>
        </w:rPr>
        <w:t>).</w:t>
      </w:r>
    </w:p>
    <w:p w14:paraId="115BDD2D" w14:textId="77777777" w:rsidR="009E2357" w:rsidRPr="00464C83" w:rsidRDefault="009E2357" w:rsidP="00B136D5">
      <w:pPr>
        <w:numPr>
          <w:ilvl w:val="0"/>
          <w:numId w:val="3"/>
        </w:numPr>
        <w:spacing w:after="0" w:line="240" w:lineRule="auto"/>
        <w:ind w:left="810"/>
        <w:rPr>
          <w:rFonts w:ascii="Merriweather" w:hAnsi="Merriweather" w:cs="Times New Roman"/>
          <w:sz w:val="20"/>
          <w:szCs w:val="20"/>
        </w:rPr>
      </w:pPr>
      <w:r w:rsidRPr="00464C83">
        <w:rPr>
          <w:rFonts w:ascii="Merriweather" w:hAnsi="Merriweather" w:cs="Times New Roman"/>
          <w:b/>
          <w:sz w:val="20"/>
          <w:szCs w:val="20"/>
        </w:rPr>
        <w:t>National Historic Preservation Act of 1966, as amended,</w:t>
      </w:r>
      <w:r w:rsidRPr="00464C83">
        <w:rPr>
          <w:rFonts w:ascii="Merriweather" w:hAnsi="Merriweather" w:cs="Times New Roman"/>
          <w:color w:val="000099"/>
          <w:sz w:val="20"/>
          <w:szCs w:val="20"/>
        </w:rPr>
        <w:t xml:space="preserve"> </w:t>
      </w:r>
      <w:r w:rsidRPr="00464C83">
        <w:rPr>
          <w:rFonts w:ascii="Merriweather" w:hAnsi="Merriweather" w:cs="Times New Roman"/>
          <w:sz w:val="20"/>
          <w:szCs w:val="20"/>
        </w:rPr>
        <w:t>(</w:t>
      </w:r>
      <w:hyperlink r:id="rId25" w:history="1">
        <w:r w:rsidRPr="00464C83">
          <w:rPr>
            <w:rStyle w:val="Hyperlink"/>
            <w:rFonts w:ascii="Merriweather" w:hAnsi="Merriweather" w:cs="Times New Roman"/>
            <w:sz w:val="20"/>
            <w:szCs w:val="20"/>
          </w:rPr>
          <w:t>16 U.S.C. 470</w:t>
        </w:r>
      </w:hyperlink>
      <w:r w:rsidRPr="00464C83">
        <w:rPr>
          <w:rFonts w:ascii="Merriweather" w:hAnsi="Merriweather" w:cs="Times New Roman"/>
          <w:sz w:val="20"/>
          <w:szCs w:val="20"/>
        </w:rPr>
        <w:t>), applies to any Federal funds that would support the planning or major renovation of any structure eligible for or on the National Register of Historic  Places, in accordance with Section 106. This law also applies to project activities, such as new construction, that would affect such properties.</w:t>
      </w:r>
    </w:p>
    <w:p w14:paraId="0C40B189" w14:textId="77777777" w:rsidR="009E2357" w:rsidRPr="00464C83" w:rsidRDefault="009E2357" w:rsidP="00B136D5">
      <w:pPr>
        <w:numPr>
          <w:ilvl w:val="0"/>
          <w:numId w:val="2"/>
        </w:numPr>
        <w:tabs>
          <w:tab w:val="clear" w:pos="1080"/>
          <w:tab w:val="left" w:pos="450"/>
        </w:tabs>
        <w:spacing w:after="0" w:line="240" w:lineRule="auto"/>
        <w:ind w:left="450" w:hanging="450"/>
        <w:rPr>
          <w:rFonts w:ascii="Merriweather" w:hAnsi="Merriweather" w:cs="Times New Roman"/>
          <w:sz w:val="20"/>
          <w:szCs w:val="20"/>
        </w:rPr>
      </w:pPr>
      <w:r w:rsidRPr="00464C83">
        <w:rPr>
          <w:rFonts w:ascii="Merriweather" w:hAnsi="Merriweather" w:cs="Times New Roman"/>
          <w:b/>
          <w:sz w:val="20"/>
          <w:szCs w:val="20"/>
        </w:rPr>
        <w:t>Debarment and Suspension</w:t>
      </w:r>
      <w:r w:rsidRPr="00464C83">
        <w:rPr>
          <w:rFonts w:ascii="Merriweather" w:hAnsi="Merriweather" w:cs="Times New Roman"/>
          <w:sz w:val="20"/>
          <w:szCs w:val="20"/>
        </w:rPr>
        <w:t xml:space="preserve"> The organization must comply with requirements regarding debarment and suspension in Subpart C of 2 CFR 180, as adopted by the Arts Endowment in 2 CFR 32.3254. The organization certifies that it is not delinquent in the repayment of any Federal debt. There are circumstances under which we may receive information concerning your fitness to carry out a project and administer Federal funds, such as:</w:t>
      </w:r>
    </w:p>
    <w:p w14:paraId="28E7925D" w14:textId="77777777" w:rsidR="009E2357" w:rsidRPr="00464C83" w:rsidRDefault="009E2357" w:rsidP="00B136D5">
      <w:pPr>
        <w:numPr>
          <w:ilvl w:val="1"/>
          <w:numId w:val="2"/>
        </w:numPr>
        <w:tabs>
          <w:tab w:val="clear" w:pos="1440"/>
        </w:tabs>
        <w:spacing w:after="0" w:line="240" w:lineRule="auto"/>
        <w:ind w:left="1260"/>
        <w:rPr>
          <w:rFonts w:ascii="Merriweather" w:hAnsi="Merriweather" w:cs="Times New Roman"/>
          <w:sz w:val="20"/>
          <w:szCs w:val="20"/>
        </w:rPr>
      </w:pPr>
      <w:r w:rsidRPr="00464C83">
        <w:rPr>
          <w:rFonts w:ascii="Merriweather" w:hAnsi="Merriweather" w:cs="Times New Roman"/>
          <w:sz w:val="20"/>
          <w:szCs w:val="20"/>
        </w:rPr>
        <w:t xml:space="preserve">Conviction of, or a civil judgment for, the commission of fraud, embezzlement, theft, forgery, or making false </w:t>
      </w:r>
      <w:proofErr w:type="gramStart"/>
      <w:r w:rsidRPr="00464C83">
        <w:rPr>
          <w:rFonts w:ascii="Merriweather" w:hAnsi="Merriweather" w:cs="Times New Roman"/>
          <w:sz w:val="20"/>
          <w:szCs w:val="20"/>
        </w:rPr>
        <w:t>statements;</w:t>
      </w:r>
      <w:proofErr w:type="gramEnd"/>
    </w:p>
    <w:p w14:paraId="56E6B919" w14:textId="77777777" w:rsidR="009E2357" w:rsidRPr="00464C83" w:rsidRDefault="009E2357" w:rsidP="00B136D5">
      <w:pPr>
        <w:numPr>
          <w:ilvl w:val="1"/>
          <w:numId w:val="2"/>
        </w:numPr>
        <w:tabs>
          <w:tab w:val="clear" w:pos="1440"/>
        </w:tabs>
        <w:spacing w:after="0" w:line="240" w:lineRule="auto"/>
        <w:ind w:left="1260"/>
        <w:rPr>
          <w:rFonts w:ascii="Merriweather" w:hAnsi="Merriweather" w:cs="Times New Roman"/>
          <w:sz w:val="20"/>
          <w:szCs w:val="20"/>
        </w:rPr>
      </w:pPr>
      <w:r w:rsidRPr="00464C83">
        <w:rPr>
          <w:rFonts w:ascii="Merriweather" w:hAnsi="Merriweather" w:cs="Times New Roman"/>
          <w:sz w:val="20"/>
          <w:szCs w:val="20"/>
        </w:rPr>
        <w:t xml:space="preserve">Any other offense indicating a lack of business integrity or business honesty that seriously and directly affects your present </w:t>
      </w:r>
      <w:proofErr w:type="gramStart"/>
      <w:r w:rsidRPr="00464C83">
        <w:rPr>
          <w:rFonts w:ascii="Merriweather" w:hAnsi="Merriweather" w:cs="Times New Roman"/>
          <w:sz w:val="20"/>
          <w:szCs w:val="20"/>
        </w:rPr>
        <w:t>responsibility;</w:t>
      </w:r>
      <w:proofErr w:type="gramEnd"/>
    </w:p>
    <w:p w14:paraId="6C57E093" w14:textId="77777777" w:rsidR="009E2357" w:rsidRPr="00464C83" w:rsidRDefault="009E2357" w:rsidP="00B136D5">
      <w:pPr>
        <w:numPr>
          <w:ilvl w:val="1"/>
          <w:numId w:val="2"/>
        </w:numPr>
        <w:tabs>
          <w:tab w:val="clear" w:pos="1440"/>
        </w:tabs>
        <w:spacing w:after="0" w:line="240" w:lineRule="auto"/>
        <w:ind w:left="1260"/>
        <w:rPr>
          <w:rFonts w:ascii="Merriweather" w:hAnsi="Merriweather" w:cs="Times New Roman"/>
          <w:sz w:val="20"/>
          <w:szCs w:val="20"/>
        </w:rPr>
      </w:pPr>
      <w:r w:rsidRPr="00464C83">
        <w:rPr>
          <w:rFonts w:ascii="Merriweather" w:hAnsi="Merriweather" w:cs="Times New Roman"/>
          <w:sz w:val="20"/>
          <w:szCs w:val="20"/>
        </w:rPr>
        <w:t>Any other cause of so serious or compelling a nature that it affects an organization’s present responsibility.</w:t>
      </w:r>
    </w:p>
    <w:p w14:paraId="024F6835" w14:textId="77777777" w:rsidR="009E2357" w:rsidRPr="00464C83" w:rsidRDefault="009E2357" w:rsidP="00B136D5">
      <w:pPr>
        <w:numPr>
          <w:ilvl w:val="0"/>
          <w:numId w:val="2"/>
        </w:numPr>
        <w:tabs>
          <w:tab w:val="clear" w:pos="1080"/>
        </w:tabs>
        <w:spacing w:after="0" w:line="240" w:lineRule="auto"/>
        <w:ind w:left="450" w:hanging="450"/>
        <w:rPr>
          <w:rFonts w:ascii="Merriweather" w:hAnsi="Merriweather" w:cs="Times New Roman"/>
          <w:sz w:val="20"/>
          <w:szCs w:val="20"/>
        </w:rPr>
      </w:pPr>
      <w:r w:rsidRPr="00464C83">
        <w:rPr>
          <w:rFonts w:ascii="Merriweather" w:hAnsi="Merriweather" w:cs="Times New Roman"/>
          <w:b/>
          <w:sz w:val="20"/>
          <w:szCs w:val="20"/>
        </w:rPr>
        <w:t xml:space="preserve">Federal Debt Status </w:t>
      </w:r>
      <w:r w:rsidRPr="00464C83">
        <w:rPr>
          <w:rFonts w:ascii="Merriweather" w:hAnsi="Merriweather" w:cs="Times New Roman"/>
          <w:sz w:val="20"/>
          <w:szCs w:val="20"/>
        </w:rPr>
        <w:t>(</w:t>
      </w:r>
      <w:hyperlink r:id="rId26" w:history="1">
        <w:r w:rsidRPr="00464C83">
          <w:rPr>
            <w:rStyle w:val="Hyperlink"/>
            <w:rFonts w:ascii="Merriweather" w:hAnsi="Merriweather" w:cs="Times New Roman"/>
            <w:sz w:val="20"/>
            <w:szCs w:val="20"/>
          </w:rPr>
          <w:t>OMB Circular A-129</w:t>
        </w:r>
      </w:hyperlink>
      <w:r w:rsidRPr="00464C83">
        <w:rPr>
          <w:rFonts w:ascii="Merriweather" w:hAnsi="Merriweather" w:cs="Times New Roman"/>
          <w:sz w:val="20"/>
          <w:szCs w:val="20"/>
        </w:rPr>
        <w:t>) in which the organization certifies that it is not delinquent in the repayment of any federal debt. Examples of relevant debt includes delinquent payroll or other taxes, audit disallowances, and benefit overpayments.</w:t>
      </w:r>
    </w:p>
    <w:p w14:paraId="3B5D7605" w14:textId="77777777" w:rsidR="009E2357" w:rsidRPr="00464C83" w:rsidRDefault="009E2357" w:rsidP="00B136D5">
      <w:pPr>
        <w:numPr>
          <w:ilvl w:val="0"/>
          <w:numId w:val="2"/>
        </w:numPr>
        <w:tabs>
          <w:tab w:val="clear" w:pos="1080"/>
        </w:tabs>
        <w:spacing w:after="0" w:line="240" w:lineRule="auto"/>
        <w:ind w:left="450" w:hanging="450"/>
        <w:rPr>
          <w:rFonts w:ascii="Merriweather" w:hAnsi="Merriweather" w:cs="Times New Roman"/>
          <w:sz w:val="20"/>
          <w:szCs w:val="20"/>
        </w:rPr>
      </w:pPr>
      <w:r w:rsidRPr="00464C83">
        <w:rPr>
          <w:rFonts w:ascii="Merriweather" w:hAnsi="Merriweather" w:cs="Times New Roman"/>
          <w:b/>
          <w:sz w:val="20"/>
          <w:szCs w:val="20"/>
        </w:rPr>
        <w:t>Lobbying</w:t>
      </w:r>
      <w:r w:rsidRPr="00464C83">
        <w:rPr>
          <w:rFonts w:ascii="Merriweather" w:hAnsi="Merriweather" w:cs="Times New Roman"/>
          <w:sz w:val="20"/>
          <w:szCs w:val="20"/>
        </w:rPr>
        <w:t xml:space="preserve"> The organization may not conduct political lobbying, as defined in the statutes and regulations listed below, within your </w:t>
      </w:r>
      <w:proofErr w:type="gramStart"/>
      <w:r w:rsidRPr="00464C83">
        <w:rPr>
          <w:rFonts w:ascii="Merriweather" w:hAnsi="Merriweather" w:cs="Times New Roman"/>
          <w:sz w:val="20"/>
          <w:szCs w:val="20"/>
        </w:rPr>
        <w:t>Federally-supported</w:t>
      </w:r>
      <w:proofErr w:type="gramEnd"/>
      <w:r w:rsidRPr="00464C83">
        <w:rPr>
          <w:rFonts w:ascii="Merriweather" w:hAnsi="Merriweather" w:cs="Times New Roman"/>
          <w:sz w:val="20"/>
          <w:szCs w:val="20"/>
        </w:rPr>
        <w:t xml:space="preserve"> project. In addition, Federal funds may not be used for lobbying specifically to obtain awards. For definitions and other information on these restrictions, refer to the following:</w:t>
      </w:r>
    </w:p>
    <w:p w14:paraId="0B858393" w14:textId="77777777" w:rsidR="009E2357" w:rsidRPr="00464C83" w:rsidRDefault="009E2357" w:rsidP="00B136D5">
      <w:pPr>
        <w:numPr>
          <w:ilvl w:val="1"/>
          <w:numId w:val="2"/>
        </w:numPr>
        <w:tabs>
          <w:tab w:val="clear" w:pos="1440"/>
        </w:tabs>
        <w:spacing w:after="0" w:line="240" w:lineRule="auto"/>
        <w:ind w:left="1260" w:hanging="450"/>
        <w:rPr>
          <w:rFonts w:ascii="Merriweather" w:hAnsi="Merriweather" w:cs="Times New Roman"/>
          <w:sz w:val="20"/>
          <w:szCs w:val="20"/>
        </w:rPr>
      </w:pPr>
      <w:r w:rsidRPr="00464C83">
        <w:rPr>
          <w:rFonts w:ascii="Merriweather" w:hAnsi="Merriweather" w:cs="Times New Roman"/>
          <w:sz w:val="20"/>
          <w:szCs w:val="20"/>
        </w:rPr>
        <w:t>No part of the money appropriated by any enactment of Congress shall, in the absence of express authorization by Congress, be used directly or indirectly to pay for any personal service, advertisement, telegram, telephone, letter, printed, or written manner, or other device, intended or designed to influence in any manner a Member of Congress, a jurisdiction, or an official of any government, to favor, adopt, or oppose, by vote or otherwise, any legislation, law, ratification, policy, or appropriation, whether before or after the introduction of any bill, measure, or resolution proposing such legislation, law, ratification, policy, or appropriation; but this shall not prevent officers or employees of the United States or of its department or agencies from communicating to any such Member or official, at his request, or to Congress or such official, through the proper official channels, requests for any legislation, law, ratification, policy, or appropriation which they deem necessary for the efficient conduct of the public business, or from making any communication whose prohibition by this section might, in the opinion of the Attorney General, violate the Constitution to interfere with the conduct of foreign policy, counter-intelligence, intelligence, or national security activities. (18 U.S.C. 1913)</w:t>
      </w:r>
    </w:p>
    <w:p w14:paraId="1C155C25" w14:textId="77777777" w:rsidR="009E2357" w:rsidRPr="00464C83" w:rsidRDefault="009E2357" w:rsidP="00B136D5">
      <w:pPr>
        <w:numPr>
          <w:ilvl w:val="1"/>
          <w:numId w:val="2"/>
        </w:numPr>
        <w:tabs>
          <w:tab w:val="clear" w:pos="1440"/>
        </w:tabs>
        <w:spacing w:after="0" w:line="240" w:lineRule="auto"/>
        <w:ind w:left="1260" w:hanging="450"/>
        <w:rPr>
          <w:rFonts w:ascii="Merriweather" w:hAnsi="Merriweather" w:cs="Times New Roman"/>
          <w:sz w:val="20"/>
          <w:szCs w:val="20"/>
        </w:rPr>
      </w:pPr>
      <w:r w:rsidRPr="00464C83">
        <w:rPr>
          <w:rFonts w:ascii="Merriweather" w:hAnsi="Merriweather" w:cs="Times New Roman"/>
          <w:sz w:val="20"/>
          <w:szCs w:val="20"/>
        </w:rPr>
        <w:t>Lobbying (</w:t>
      </w:r>
      <w:hyperlink r:id="rId27" w:anchor="se2.1.200_1450" w:history="1">
        <w:r w:rsidRPr="00464C83">
          <w:rPr>
            <w:rStyle w:val="Hyperlink"/>
            <w:rFonts w:ascii="Merriweather" w:hAnsi="Merriweather" w:cs="Times New Roman"/>
            <w:sz w:val="20"/>
            <w:szCs w:val="20"/>
          </w:rPr>
          <w:t>2 CFR 200.450</w:t>
        </w:r>
      </w:hyperlink>
      <w:r w:rsidRPr="00464C83">
        <w:rPr>
          <w:rFonts w:ascii="Merriweather" w:hAnsi="Merriweather" w:cs="Times New Roman"/>
          <w:sz w:val="20"/>
          <w:szCs w:val="20"/>
        </w:rPr>
        <w:t>) describes the cost of certain influencing activities associated with obtaining grants, contracts, cooperative agreements, or loans as an unallowable project cost. The regulation generally defines lobbying as conduct intended to influence the outcome of elections or to influence elected officials regarding pending legislation, either directly or through specific lobbying appeals to the public.</w:t>
      </w:r>
    </w:p>
    <w:p w14:paraId="7A7CC4B0" w14:textId="77777777" w:rsidR="009E2357" w:rsidRPr="00464C83" w:rsidRDefault="009E2357" w:rsidP="00B136D5">
      <w:pPr>
        <w:numPr>
          <w:ilvl w:val="1"/>
          <w:numId w:val="2"/>
        </w:numPr>
        <w:tabs>
          <w:tab w:val="clear" w:pos="1440"/>
        </w:tabs>
        <w:spacing w:after="0" w:line="240" w:lineRule="auto"/>
        <w:ind w:left="1260" w:hanging="450"/>
        <w:rPr>
          <w:rFonts w:ascii="Merriweather" w:hAnsi="Merriweather" w:cs="Times New Roman"/>
          <w:sz w:val="20"/>
          <w:szCs w:val="20"/>
        </w:rPr>
      </w:pPr>
      <w:r w:rsidRPr="00464C83">
        <w:rPr>
          <w:rFonts w:ascii="Merriweather" w:hAnsi="Merriweather" w:cs="Times New Roman"/>
          <w:sz w:val="20"/>
          <w:szCs w:val="20"/>
        </w:rPr>
        <w:t>Certification Regarding Lobbying to Obtain Awards (Section 319 of Public Law 101-121, codified at 31 U.S.C. 1352) prohibits the use of Federal funds in lobbying members and employees of Congress, as well as employees of Federal agencies, with respect to the award or amendment of any Federal grant, cooperative agreement, contract, or loan. While non-Federal funds may be used for such activities, they may not be included in your project budget, and their use must be disclosed to Arts Midwest. Disclosure of lobbying activities by long-term employees is, however, not required. In addition, the law exempts from definition of lobbying certain professional and technical services by applicants and awardees.</w:t>
      </w:r>
    </w:p>
    <w:p w14:paraId="1F929E8F" w14:textId="77777777" w:rsidR="009E2357" w:rsidRPr="00464C83" w:rsidRDefault="009E2357" w:rsidP="009E2357">
      <w:pPr>
        <w:spacing w:after="0" w:line="240" w:lineRule="auto"/>
        <w:ind w:left="446"/>
        <w:rPr>
          <w:rFonts w:ascii="Merriweather" w:hAnsi="Merriweather" w:cs="Times New Roman"/>
          <w:sz w:val="20"/>
          <w:szCs w:val="20"/>
        </w:rPr>
      </w:pPr>
      <w:r w:rsidRPr="00464C83">
        <w:rPr>
          <w:rFonts w:ascii="Merriweather" w:hAnsi="Merriweather" w:cs="Times New Roman"/>
          <w:sz w:val="20"/>
          <w:szCs w:val="20"/>
        </w:rPr>
        <w:lastRenderedPageBreak/>
        <w:t xml:space="preserve">We strongly advise you to review these regulations that are published at </w:t>
      </w:r>
      <w:hyperlink r:id="rId28" w:history="1">
        <w:r w:rsidRPr="00464C83">
          <w:rPr>
            <w:rStyle w:val="Hyperlink"/>
            <w:rFonts w:ascii="Merriweather" w:hAnsi="Merriweather" w:cs="Times New Roman"/>
            <w:sz w:val="20"/>
            <w:szCs w:val="20"/>
          </w:rPr>
          <w:t>45 CFR 1158</w:t>
        </w:r>
      </w:hyperlink>
      <w:r w:rsidRPr="00464C83">
        <w:rPr>
          <w:rFonts w:ascii="Merriweather" w:hAnsi="Merriweather" w:cs="Times New Roman"/>
          <w:sz w:val="20"/>
          <w:szCs w:val="20"/>
        </w:rPr>
        <w:t xml:space="preserve">, and can be found at </w:t>
      </w:r>
      <w:hyperlink r:id="rId29" w:history="1">
        <w:r w:rsidRPr="00464C83">
          <w:rPr>
            <w:rStyle w:val="Hyperlink"/>
            <w:rFonts w:ascii="Merriweather" w:hAnsi="Merriweather" w:cs="Times New Roman"/>
            <w:sz w:val="20"/>
            <w:szCs w:val="20"/>
          </w:rPr>
          <w:t>www.gpo.gov/fdsys</w:t>
        </w:r>
      </w:hyperlink>
      <w:r w:rsidRPr="00464C83">
        <w:rPr>
          <w:rFonts w:ascii="Merriweather" w:hAnsi="Merriweather" w:cs="Times New Roman"/>
          <w:sz w:val="20"/>
          <w:szCs w:val="20"/>
        </w:rPr>
        <w:t xml:space="preserve">. </w:t>
      </w:r>
    </w:p>
    <w:p w14:paraId="56D988EC" w14:textId="77777777" w:rsidR="009E2357" w:rsidRPr="00464C83" w:rsidRDefault="009E2357" w:rsidP="00B136D5">
      <w:pPr>
        <w:numPr>
          <w:ilvl w:val="0"/>
          <w:numId w:val="2"/>
        </w:numPr>
        <w:tabs>
          <w:tab w:val="clear" w:pos="1080"/>
        </w:tabs>
        <w:spacing w:after="0" w:line="240" w:lineRule="auto"/>
        <w:ind w:left="450" w:hanging="450"/>
        <w:rPr>
          <w:rFonts w:ascii="Merriweather" w:hAnsi="Merriweather" w:cs="Times New Roman"/>
          <w:sz w:val="20"/>
          <w:szCs w:val="20"/>
        </w:rPr>
      </w:pPr>
      <w:r w:rsidRPr="00464C83">
        <w:rPr>
          <w:rFonts w:ascii="Merriweather" w:hAnsi="Merriweather" w:cs="Times New Roman"/>
          <w:b/>
          <w:sz w:val="20"/>
          <w:szCs w:val="20"/>
        </w:rPr>
        <w:t>The Native American Graves Protection and Repatriation Act of 1990</w:t>
      </w:r>
      <w:r w:rsidRPr="00464C83">
        <w:rPr>
          <w:rFonts w:ascii="Merriweather" w:hAnsi="Merriweather" w:cs="Times New Roman"/>
          <w:sz w:val="20"/>
          <w:szCs w:val="20"/>
        </w:rPr>
        <w:t xml:space="preserve"> (</w:t>
      </w:r>
      <w:hyperlink r:id="rId30" w:history="1">
        <w:r w:rsidRPr="00464C83">
          <w:rPr>
            <w:rStyle w:val="Hyperlink"/>
            <w:rFonts w:ascii="Merriweather" w:hAnsi="Merriweather" w:cs="Times New Roman"/>
            <w:sz w:val="20"/>
            <w:szCs w:val="20"/>
          </w:rPr>
          <w:t>25 U.S.C. 3001 et seq</w:t>
        </w:r>
      </w:hyperlink>
      <w:r w:rsidRPr="00464C83">
        <w:rPr>
          <w:rFonts w:ascii="Merriweather" w:hAnsi="Merriweather" w:cs="Times New Roman"/>
          <w:sz w:val="20"/>
          <w:szCs w:val="20"/>
        </w:rPr>
        <w:t>.) applies to any organization that controls or possesses Native American human remains and associated funerary objects and received Federal funds even for a purpose unrelated to the Act.</w:t>
      </w:r>
    </w:p>
    <w:p w14:paraId="7266AFAE" w14:textId="77777777" w:rsidR="009E2357" w:rsidRPr="00464C83" w:rsidRDefault="009E2357" w:rsidP="00B136D5">
      <w:pPr>
        <w:numPr>
          <w:ilvl w:val="0"/>
          <w:numId w:val="2"/>
        </w:numPr>
        <w:tabs>
          <w:tab w:val="clear" w:pos="1080"/>
          <w:tab w:val="num" w:pos="540"/>
        </w:tabs>
        <w:spacing w:after="0" w:line="240" w:lineRule="auto"/>
        <w:ind w:left="450" w:hanging="450"/>
        <w:rPr>
          <w:rFonts w:ascii="Merriweather" w:hAnsi="Merriweather" w:cs="Times New Roman"/>
          <w:sz w:val="20"/>
          <w:szCs w:val="20"/>
        </w:rPr>
      </w:pPr>
      <w:r w:rsidRPr="00464C83">
        <w:rPr>
          <w:rFonts w:ascii="Merriweather" w:hAnsi="Merriweather" w:cs="Times New Roman"/>
          <w:b/>
          <w:sz w:val="20"/>
          <w:szCs w:val="20"/>
        </w:rPr>
        <w:t xml:space="preserve">U.S. Constitution Education Program </w:t>
      </w:r>
      <w:r w:rsidRPr="00464C83">
        <w:rPr>
          <w:rFonts w:ascii="Merriweather" w:hAnsi="Merriweather" w:cs="Times New Roman"/>
          <w:sz w:val="20"/>
          <w:szCs w:val="20"/>
        </w:rPr>
        <w:t xml:space="preserve">(P.L. 108-447, Division J, Sec. 111(b)) Educational institutions (including but not limited to “local educational agencies” and “institutions of higher education”) receiving Federal funds are required to provide an educational program on the U.S. Constitution on September 17. For more information on how to implement this requirement and suggested resources, see </w:t>
      </w:r>
      <w:hyperlink r:id="rId31" w:history="1">
        <w:r w:rsidRPr="00464C83">
          <w:rPr>
            <w:rStyle w:val="Hyperlink"/>
            <w:rFonts w:ascii="Merriweather" w:hAnsi="Merriweather" w:cs="Times New Roman"/>
            <w:sz w:val="20"/>
            <w:szCs w:val="20"/>
          </w:rPr>
          <w:t>http://www2.ed.gov/policy/fund/guid/constitutionday.html</w:t>
        </w:r>
      </w:hyperlink>
      <w:r w:rsidRPr="00464C83">
        <w:rPr>
          <w:rFonts w:ascii="Merriweather" w:hAnsi="Merriweather" w:cs="Times New Roman"/>
          <w:sz w:val="20"/>
          <w:szCs w:val="20"/>
        </w:rPr>
        <w:t xml:space="preserve"> and </w:t>
      </w:r>
      <w:hyperlink r:id="rId32" w:history="1">
        <w:r w:rsidRPr="00464C83">
          <w:rPr>
            <w:rStyle w:val="Hyperlink"/>
            <w:rFonts w:ascii="Merriweather" w:hAnsi="Merriweather" w:cs="Times New Roman"/>
            <w:sz w:val="20"/>
            <w:szCs w:val="20"/>
          </w:rPr>
          <w:t>http://thomas.loc.gov/teachers/constitution.html</w:t>
        </w:r>
      </w:hyperlink>
      <w:r w:rsidRPr="00464C83">
        <w:rPr>
          <w:rFonts w:ascii="Merriweather" w:hAnsi="Merriweather" w:cs="Times New Roman"/>
          <w:sz w:val="20"/>
          <w:szCs w:val="20"/>
        </w:rPr>
        <w:t xml:space="preserve">. </w:t>
      </w:r>
    </w:p>
    <w:p w14:paraId="686EA044" w14:textId="77777777" w:rsidR="009E2357" w:rsidRPr="00464C83" w:rsidRDefault="009E2357" w:rsidP="00B136D5">
      <w:pPr>
        <w:numPr>
          <w:ilvl w:val="0"/>
          <w:numId w:val="2"/>
        </w:numPr>
        <w:tabs>
          <w:tab w:val="clear" w:pos="1080"/>
        </w:tabs>
        <w:spacing w:after="0" w:line="240" w:lineRule="auto"/>
        <w:ind w:left="450" w:hanging="450"/>
        <w:rPr>
          <w:rFonts w:ascii="Merriweather" w:hAnsi="Merriweather" w:cs="Times New Roman"/>
          <w:sz w:val="20"/>
          <w:szCs w:val="20"/>
        </w:rPr>
      </w:pPr>
      <w:r w:rsidRPr="00464C83">
        <w:rPr>
          <w:rFonts w:ascii="Merriweather" w:hAnsi="Merriweather" w:cs="Times New Roman"/>
          <w:b/>
          <w:sz w:val="20"/>
          <w:szCs w:val="20"/>
        </w:rPr>
        <w:t xml:space="preserve">Prohibition of use of funds to ACORN or its subsidiaries </w:t>
      </w:r>
      <w:r w:rsidRPr="00464C83">
        <w:rPr>
          <w:rFonts w:ascii="Merriweather" w:hAnsi="Merriweather" w:cs="Times New Roman"/>
          <w:sz w:val="20"/>
          <w:szCs w:val="20"/>
        </w:rPr>
        <w:t>(P.L. 111-88 Sec. 427)</w:t>
      </w:r>
      <w:r w:rsidRPr="00464C83">
        <w:rPr>
          <w:rFonts w:ascii="Merriweather" w:hAnsi="Merriweather" w:cs="Times New Roman"/>
          <w:b/>
          <w:sz w:val="20"/>
          <w:szCs w:val="20"/>
        </w:rPr>
        <w:t xml:space="preserve"> </w:t>
      </w:r>
      <w:r w:rsidRPr="00464C83">
        <w:rPr>
          <w:rFonts w:ascii="Merriweather" w:hAnsi="Merriweather" w:cs="Times New Roman"/>
          <w:sz w:val="20"/>
          <w:szCs w:val="20"/>
        </w:rPr>
        <w:t xml:space="preserve">Federal funds shall not be distributed to the Association of Community Organizations for Reform Now (ACORN) or its subsidiaries </w:t>
      </w:r>
    </w:p>
    <w:p w14:paraId="77074CDB" w14:textId="77777777" w:rsidR="009E2357" w:rsidRPr="00464C83" w:rsidRDefault="009E2357" w:rsidP="00B136D5">
      <w:pPr>
        <w:numPr>
          <w:ilvl w:val="0"/>
          <w:numId w:val="2"/>
        </w:numPr>
        <w:tabs>
          <w:tab w:val="clear" w:pos="1080"/>
        </w:tabs>
        <w:spacing w:after="0" w:line="240" w:lineRule="auto"/>
        <w:ind w:left="450" w:hanging="450"/>
        <w:rPr>
          <w:rFonts w:ascii="Merriweather" w:hAnsi="Merriweather" w:cs="Times New Roman"/>
          <w:sz w:val="20"/>
          <w:szCs w:val="20"/>
        </w:rPr>
      </w:pPr>
      <w:r w:rsidRPr="00464C83">
        <w:rPr>
          <w:rFonts w:ascii="Merriweather" w:hAnsi="Merriweather" w:cs="Times New Roman"/>
          <w:b/>
          <w:sz w:val="20"/>
          <w:szCs w:val="20"/>
        </w:rPr>
        <w:t>Fly American Act</w:t>
      </w:r>
      <w:r w:rsidRPr="00464C83">
        <w:rPr>
          <w:rFonts w:ascii="Merriweather" w:hAnsi="Merriweather" w:cs="Times New Roman"/>
          <w:sz w:val="20"/>
          <w:szCs w:val="20"/>
        </w:rPr>
        <w:t xml:space="preserve"> (</w:t>
      </w:r>
      <w:hyperlink r:id="rId33" w:history="1">
        <w:r w:rsidRPr="00464C83">
          <w:rPr>
            <w:rStyle w:val="Hyperlink"/>
            <w:rFonts w:ascii="Merriweather" w:hAnsi="Merriweather" w:cs="Times New Roman"/>
            <w:sz w:val="20"/>
            <w:szCs w:val="20"/>
          </w:rPr>
          <w:t>41 CFR 301-10.131-10.143</w:t>
        </w:r>
      </w:hyperlink>
      <w:r w:rsidRPr="00464C83">
        <w:rPr>
          <w:rFonts w:ascii="Merriweather" w:hAnsi="Merriweather" w:cs="Times New Roman"/>
          <w:sz w:val="20"/>
          <w:szCs w:val="20"/>
        </w:rPr>
        <w:t>) The organization is required to follow the provision of this Act. Any air travel paid in whole or in part with Federal funds must be on a U.S. flag air carrier or a foreign air carrier under an air transport agreement (code share agreement) with the United States when these services are available. Lower cost, convenience, or traveler preferences are not acceptable reasons for using a foreign air carrier. Foreign travel is defined as any travel outside of Canada, Mexico, and the United States, and its territories and possessions.</w:t>
      </w:r>
    </w:p>
    <w:p w14:paraId="6E1C6CEF" w14:textId="77777777" w:rsidR="009E2357" w:rsidRPr="00464C83" w:rsidRDefault="009E2357" w:rsidP="00B136D5">
      <w:pPr>
        <w:numPr>
          <w:ilvl w:val="0"/>
          <w:numId w:val="2"/>
        </w:numPr>
        <w:tabs>
          <w:tab w:val="clear" w:pos="1080"/>
          <w:tab w:val="left" w:pos="450"/>
        </w:tabs>
        <w:spacing w:after="0" w:line="240" w:lineRule="auto"/>
        <w:ind w:left="450" w:hanging="450"/>
        <w:rPr>
          <w:rFonts w:ascii="Merriweather" w:hAnsi="Merriweather" w:cs="Times New Roman"/>
          <w:sz w:val="20"/>
          <w:szCs w:val="20"/>
        </w:rPr>
      </w:pPr>
      <w:r w:rsidRPr="00464C83">
        <w:rPr>
          <w:rFonts w:ascii="Merriweather" w:hAnsi="Merriweather" w:cs="Times New Roman"/>
          <w:b/>
          <w:sz w:val="20"/>
          <w:szCs w:val="20"/>
        </w:rPr>
        <w:t>Regulations Relating to Labor</w:t>
      </w:r>
      <w:r w:rsidRPr="00464C83">
        <w:rPr>
          <w:rFonts w:ascii="Merriweather" w:hAnsi="Merriweather" w:cs="Times New Roman"/>
          <w:sz w:val="20"/>
          <w:szCs w:val="20"/>
        </w:rPr>
        <w:t xml:space="preserve"> (</w:t>
      </w:r>
      <w:hyperlink r:id="rId34" w:history="1">
        <w:r w:rsidRPr="00464C83">
          <w:rPr>
            <w:rStyle w:val="Hyperlink"/>
            <w:rFonts w:ascii="Merriweather" w:hAnsi="Merriweather" w:cs="Times New Roman"/>
            <w:sz w:val="20"/>
            <w:szCs w:val="20"/>
          </w:rPr>
          <w:t>Part 505 of Title 29</w:t>
        </w:r>
      </w:hyperlink>
      <w:r w:rsidRPr="00464C83">
        <w:rPr>
          <w:rFonts w:ascii="Merriweather" w:hAnsi="Merriweather" w:cs="Times New Roman"/>
          <w:sz w:val="20"/>
          <w:szCs w:val="20"/>
        </w:rPr>
        <w:t>) concerning all professional performers and personnel employed on a project that are financed in part or in whole with Federal funds must comply with these regulations.</w:t>
      </w:r>
    </w:p>
    <w:p w14:paraId="538C04EF" w14:textId="77777777" w:rsidR="009E2357" w:rsidRPr="00464C83" w:rsidRDefault="009E2357" w:rsidP="00B136D5">
      <w:pPr>
        <w:numPr>
          <w:ilvl w:val="0"/>
          <w:numId w:val="2"/>
        </w:numPr>
        <w:tabs>
          <w:tab w:val="clear" w:pos="1080"/>
          <w:tab w:val="left" w:pos="450"/>
        </w:tabs>
        <w:spacing w:after="0" w:line="240" w:lineRule="auto"/>
        <w:ind w:left="450" w:hanging="450"/>
        <w:rPr>
          <w:rFonts w:ascii="Merriweather" w:hAnsi="Merriweather" w:cs="Times New Roman"/>
          <w:sz w:val="20"/>
          <w:szCs w:val="20"/>
        </w:rPr>
      </w:pPr>
      <w:r w:rsidRPr="00464C83">
        <w:rPr>
          <w:rFonts w:ascii="Merriweather" w:hAnsi="Merriweather" w:cs="Times New Roman"/>
          <w:b/>
          <w:sz w:val="20"/>
          <w:szCs w:val="20"/>
        </w:rPr>
        <w:t xml:space="preserve">Cost Principles. </w:t>
      </w:r>
      <w:r w:rsidRPr="00464C83">
        <w:rPr>
          <w:rFonts w:ascii="Merriweather" w:hAnsi="Merriweather" w:cs="Times New Roman"/>
          <w:sz w:val="20"/>
          <w:szCs w:val="20"/>
        </w:rPr>
        <w:t xml:space="preserve">The allowability of costs for projects supported by Federal funds shall be in accordance with the </w:t>
      </w:r>
      <w:hyperlink r:id="rId35" w:anchor="sp2.1.200.e" w:history="1">
        <w:r w:rsidRPr="00464C83">
          <w:rPr>
            <w:rStyle w:val="Hyperlink"/>
            <w:rFonts w:ascii="Merriweather" w:hAnsi="Merriweather" w:cs="Times New Roman"/>
            <w:sz w:val="20"/>
            <w:szCs w:val="20"/>
          </w:rPr>
          <w:t>Uniform Guidance Subpart E – Cost Principles</w:t>
        </w:r>
      </w:hyperlink>
      <w:r w:rsidRPr="00464C83">
        <w:rPr>
          <w:rFonts w:ascii="Merriweather" w:hAnsi="Merriweather" w:cs="Times New Roman"/>
          <w:sz w:val="20"/>
          <w:szCs w:val="20"/>
        </w:rPr>
        <w:t xml:space="preserve">. </w:t>
      </w:r>
    </w:p>
    <w:p w14:paraId="3DA62542" w14:textId="77777777" w:rsidR="009E2357" w:rsidRPr="00464C83" w:rsidRDefault="009E2357" w:rsidP="009E2357">
      <w:pPr>
        <w:tabs>
          <w:tab w:val="left" w:pos="450"/>
        </w:tabs>
        <w:spacing w:after="0" w:line="240" w:lineRule="auto"/>
        <w:ind w:left="450"/>
        <w:rPr>
          <w:rFonts w:ascii="Merriweather" w:hAnsi="Merriweather" w:cs="Times New Roman"/>
          <w:sz w:val="20"/>
          <w:szCs w:val="20"/>
        </w:rPr>
      </w:pPr>
      <w:r w:rsidRPr="00464C83">
        <w:rPr>
          <w:rFonts w:ascii="Merriweather" w:hAnsi="Merriweather" w:cs="Times New Roman"/>
          <w:sz w:val="20"/>
          <w:szCs w:val="20"/>
        </w:rPr>
        <w:t>The following are unallowable costs based on NEA legislation and policy and take precedence over the Uniform Guidance.</w:t>
      </w:r>
    </w:p>
    <w:p w14:paraId="29F0260D" w14:textId="77777777" w:rsidR="009E2357" w:rsidRPr="00464C83" w:rsidRDefault="009E2357" w:rsidP="00B136D5">
      <w:pPr>
        <w:numPr>
          <w:ilvl w:val="1"/>
          <w:numId w:val="2"/>
        </w:numPr>
        <w:tabs>
          <w:tab w:val="clear" w:pos="1440"/>
          <w:tab w:val="left" w:pos="450"/>
          <w:tab w:val="num" w:pos="1170"/>
        </w:tabs>
        <w:spacing w:after="0" w:line="240" w:lineRule="auto"/>
        <w:ind w:left="1170" w:hanging="450"/>
        <w:rPr>
          <w:rFonts w:ascii="Merriweather" w:hAnsi="Merriweather" w:cs="Times New Roman"/>
          <w:sz w:val="20"/>
          <w:szCs w:val="20"/>
        </w:rPr>
      </w:pPr>
      <w:r w:rsidRPr="00464C83">
        <w:rPr>
          <w:rFonts w:ascii="Merriweather" w:hAnsi="Merriweather" w:cs="Times New Roman"/>
          <w:sz w:val="20"/>
          <w:szCs w:val="20"/>
        </w:rPr>
        <w:t>Cash reserves and endowments</w:t>
      </w:r>
    </w:p>
    <w:p w14:paraId="7CF088BA" w14:textId="77777777" w:rsidR="009E2357" w:rsidRPr="00464C83" w:rsidRDefault="009E2357" w:rsidP="00B136D5">
      <w:pPr>
        <w:numPr>
          <w:ilvl w:val="1"/>
          <w:numId w:val="2"/>
        </w:numPr>
        <w:tabs>
          <w:tab w:val="clear" w:pos="1440"/>
          <w:tab w:val="left" w:pos="450"/>
          <w:tab w:val="num" w:pos="1170"/>
        </w:tabs>
        <w:spacing w:after="0" w:line="240" w:lineRule="auto"/>
        <w:ind w:left="1170" w:hanging="450"/>
        <w:rPr>
          <w:rFonts w:ascii="Merriweather" w:hAnsi="Merriweather" w:cs="Times New Roman"/>
          <w:sz w:val="20"/>
          <w:szCs w:val="20"/>
        </w:rPr>
      </w:pPr>
      <w:r w:rsidRPr="00464C83">
        <w:rPr>
          <w:rFonts w:ascii="Merriweather" w:hAnsi="Merriweather" w:cs="Times New Roman"/>
          <w:sz w:val="20"/>
          <w:szCs w:val="20"/>
        </w:rPr>
        <w:t>Construction, purchase, or renovation costs of facilities or land. However, costs associated with predevelopment, design fees, and community development, as well as preparing exhibit space, setting a piece of public art, etc. may be allowable.</w:t>
      </w:r>
    </w:p>
    <w:p w14:paraId="32BA36C4" w14:textId="77777777" w:rsidR="009E2357" w:rsidRPr="00464C83" w:rsidRDefault="009E2357" w:rsidP="00B136D5">
      <w:pPr>
        <w:numPr>
          <w:ilvl w:val="1"/>
          <w:numId w:val="2"/>
        </w:numPr>
        <w:tabs>
          <w:tab w:val="clear" w:pos="1440"/>
          <w:tab w:val="left" w:pos="450"/>
          <w:tab w:val="num" w:pos="1170"/>
        </w:tabs>
        <w:spacing w:after="0" w:line="240" w:lineRule="auto"/>
        <w:ind w:left="1170" w:hanging="450"/>
        <w:rPr>
          <w:rFonts w:ascii="Merriweather" w:hAnsi="Merriweather" w:cs="Times New Roman"/>
          <w:sz w:val="20"/>
          <w:szCs w:val="20"/>
        </w:rPr>
      </w:pPr>
      <w:r w:rsidRPr="00464C83">
        <w:rPr>
          <w:rFonts w:ascii="Merriweather" w:hAnsi="Merriweather" w:cs="Times New Roman"/>
          <w:sz w:val="20"/>
          <w:szCs w:val="20"/>
        </w:rPr>
        <w:t>Costs to bring a project into compliance with Federal award requirements.</w:t>
      </w:r>
    </w:p>
    <w:p w14:paraId="2CD3C5F6" w14:textId="77777777" w:rsidR="009E2357" w:rsidRPr="00464C83" w:rsidRDefault="009E2357" w:rsidP="00B136D5">
      <w:pPr>
        <w:numPr>
          <w:ilvl w:val="1"/>
          <w:numId w:val="2"/>
        </w:numPr>
        <w:tabs>
          <w:tab w:val="clear" w:pos="1440"/>
          <w:tab w:val="left" w:pos="450"/>
          <w:tab w:val="num" w:pos="1170"/>
        </w:tabs>
        <w:spacing w:after="0" w:line="240" w:lineRule="auto"/>
        <w:ind w:left="1170" w:hanging="450"/>
        <w:rPr>
          <w:rFonts w:ascii="Merriweather" w:hAnsi="Merriweather" w:cs="Times New Roman"/>
          <w:sz w:val="20"/>
          <w:szCs w:val="20"/>
        </w:rPr>
      </w:pPr>
      <w:r w:rsidRPr="00464C83">
        <w:rPr>
          <w:rFonts w:ascii="Merriweather" w:hAnsi="Merriweather" w:cs="Times New Roman"/>
          <w:sz w:val="20"/>
          <w:szCs w:val="20"/>
        </w:rPr>
        <w:t>Foreign nationals and artists compensation, including traveling to or from foreign countries when those expenditures are not in compliance with regulations issued by the U.S. Treasury Department Office of Foreign Assets Control.</w:t>
      </w:r>
    </w:p>
    <w:p w14:paraId="535E3027" w14:textId="77777777" w:rsidR="009E2357" w:rsidRPr="00464C83" w:rsidRDefault="009E2357" w:rsidP="00B136D5">
      <w:pPr>
        <w:numPr>
          <w:ilvl w:val="1"/>
          <w:numId w:val="2"/>
        </w:numPr>
        <w:tabs>
          <w:tab w:val="clear" w:pos="1440"/>
          <w:tab w:val="left" w:pos="450"/>
          <w:tab w:val="num" w:pos="1170"/>
        </w:tabs>
        <w:spacing w:after="0" w:line="240" w:lineRule="auto"/>
        <w:ind w:left="1170" w:hanging="450"/>
        <w:rPr>
          <w:rFonts w:ascii="Merriweather" w:hAnsi="Merriweather" w:cs="Times New Roman"/>
          <w:sz w:val="20"/>
          <w:szCs w:val="20"/>
        </w:rPr>
      </w:pPr>
      <w:r w:rsidRPr="00464C83">
        <w:rPr>
          <w:rFonts w:ascii="Merriweather" w:hAnsi="Merriweather" w:cs="Times New Roman"/>
          <w:sz w:val="20"/>
          <w:szCs w:val="20"/>
        </w:rPr>
        <w:t>Visa costs that are paid the U.S. Government (P.L. 109-54, Title III General Provisions, Sec. 406), however, the cost of preparing material (legal documentation, etc.) for submission is allowable.</w:t>
      </w:r>
    </w:p>
    <w:p w14:paraId="5F6A3470" w14:textId="77777777" w:rsidR="009E2357" w:rsidRPr="00464C83" w:rsidRDefault="009E2357" w:rsidP="00B136D5">
      <w:pPr>
        <w:numPr>
          <w:ilvl w:val="0"/>
          <w:numId w:val="2"/>
        </w:numPr>
        <w:tabs>
          <w:tab w:val="clear" w:pos="1080"/>
          <w:tab w:val="left" w:pos="450"/>
        </w:tabs>
        <w:spacing w:after="0" w:line="240" w:lineRule="auto"/>
        <w:ind w:left="450" w:hanging="450"/>
        <w:rPr>
          <w:rFonts w:ascii="Merriweather" w:hAnsi="Merriweather" w:cs="Times New Roman"/>
          <w:sz w:val="20"/>
          <w:szCs w:val="20"/>
        </w:rPr>
      </w:pPr>
      <w:r w:rsidRPr="00464C83">
        <w:rPr>
          <w:rFonts w:ascii="Merriweather" w:hAnsi="Merriweather" w:cs="Times New Roman"/>
          <w:b/>
          <w:sz w:val="20"/>
          <w:szCs w:val="20"/>
        </w:rPr>
        <w:t>Cost Sharing or Match Requirements</w:t>
      </w:r>
      <w:r w:rsidRPr="00464C83">
        <w:rPr>
          <w:rFonts w:ascii="Merriweather" w:hAnsi="Merriweather" w:cs="Times New Roman"/>
          <w:sz w:val="20"/>
          <w:szCs w:val="20"/>
        </w:rPr>
        <w:t xml:space="preserve"> (20 U.S.C. 954(e) and </w:t>
      </w:r>
      <w:hyperlink r:id="rId36" w:anchor="se2.1.200_1306" w:history="1">
        <w:r w:rsidRPr="00464C83">
          <w:rPr>
            <w:rStyle w:val="Hyperlink"/>
            <w:rFonts w:ascii="Merriweather" w:hAnsi="Merriweather" w:cs="Times New Roman"/>
            <w:sz w:val="20"/>
            <w:szCs w:val="20"/>
          </w:rPr>
          <w:t>2 CFR 200.306</w:t>
        </w:r>
      </w:hyperlink>
      <w:r w:rsidRPr="00464C83">
        <w:rPr>
          <w:rFonts w:ascii="Merriweather" w:hAnsi="Merriweather" w:cs="Times New Roman"/>
          <w:sz w:val="20"/>
          <w:szCs w:val="20"/>
        </w:rPr>
        <w:t>) Federal funds cannot exceed 50% of the total expenditures of the project (i.e., funds must be matched one-to-one, or “dollar for dollar”) unless otherwise stated in the Grant Agreement. This required cost sharing, or match, refers to the portion of project costs not paid by Federal funds and may include your organization’s general funds, donations, non-Federal grants, and other revenue.</w:t>
      </w:r>
    </w:p>
    <w:p w14:paraId="086A9897" w14:textId="77777777" w:rsidR="009E2357" w:rsidRPr="00464C83" w:rsidRDefault="009E2357" w:rsidP="009E2357">
      <w:pPr>
        <w:tabs>
          <w:tab w:val="left" w:pos="450"/>
        </w:tabs>
        <w:spacing w:after="0" w:line="240" w:lineRule="auto"/>
        <w:ind w:left="446"/>
        <w:rPr>
          <w:rFonts w:ascii="Merriweather" w:hAnsi="Merriweather" w:cs="Times New Roman"/>
          <w:sz w:val="20"/>
          <w:szCs w:val="20"/>
        </w:rPr>
      </w:pPr>
      <w:r w:rsidRPr="00464C83">
        <w:rPr>
          <w:rFonts w:ascii="Merriweather" w:hAnsi="Merriweather" w:cs="Times New Roman"/>
          <w:sz w:val="20"/>
          <w:szCs w:val="20"/>
        </w:rPr>
        <w:t xml:space="preserve">Other Federal funds are not eligible to meet your cost share or matching requirement. This includes Federal funds that have been sub-granted or dispersed to your organization from a State Arts Agency or other organization. Please consult with the State Arts Agency or other organization to determine if any portion of their award to your organization includes funds from a </w:t>
      </w:r>
      <w:proofErr w:type="gramStart"/>
      <w:r w:rsidRPr="00464C83">
        <w:rPr>
          <w:rFonts w:ascii="Merriweather" w:hAnsi="Merriweather" w:cs="Times New Roman"/>
          <w:sz w:val="20"/>
          <w:szCs w:val="20"/>
        </w:rPr>
        <w:t>Federal</w:t>
      </w:r>
      <w:proofErr w:type="gramEnd"/>
      <w:r w:rsidRPr="00464C83">
        <w:rPr>
          <w:rFonts w:ascii="Merriweather" w:hAnsi="Merriweather" w:cs="Times New Roman"/>
          <w:sz w:val="20"/>
          <w:szCs w:val="20"/>
        </w:rPr>
        <w:t xml:space="preserve"> agency.</w:t>
      </w:r>
    </w:p>
    <w:p w14:paraId="7C6C7B8B" w14:textId="77777777" w:rsidR="009E2357" w:rsidRPr="00464C83" w:rsidRDefault="009E2357" w:rsidP="00B136D5">
      <w:pPr>
        <w:numPr>
          <w:ilvl w:val="0"/>
          <w:numId w:val="2"/>
        </w:numPr>
        <w:tabs>
          <w:tab w:val="clear" w:pos="1080"/>
          <w:tab w:val="left" w:pos="450"/>
        </w:tabs>
        <w:spacing w:after="0" w:line="240" w:lineRule="auto"/>
        <w:ind w:left="450" w:hanging="450"/>
        <w:rPr>
          <w:rFonts w:ascii="Merriweather" w:hAnsi="Merriweather" w:cs="Times New Roman"/>
          <w:sz w:val="20"/>
          <w:szCs w:val="20"/>
        </w:rPr>
      </w:pPr>
      <w:r w:rsidRPr="00464C83">
        <w:rPr>
          <w:rFonts w:ascii="Merriweather" w:hAnsi="Merriweather" w:cs="Times New Roman"/>
          <w:b/>
          <w:sz w:val="20"/>
          <w:szCs w:val="20"/>
        </w:rPr>
        <w:t>Indirect (Facilities &amp; Administration) Costs</w:t>
      </w:r>
      <w:r w:rsidRPr="00464C83">
        <w:rPr>
          <w:rFonts w:ascii="Merriweather" w:hAnsi="Merriweather" w:cs="Times New Roman"/>
          <w:sz w:val="20"/>
          <w:szCs w:val="20"/>
        </w:rPr>
        <w:t xml:space="preserve"> (</w:t>
      </w:r>
      <w:hyperlink r:id="rId37" w:anchor="se2.1.200_1414" w:history="1">
        <w:r w:rsidRPr="00464C83">
          <w:rPr>
            <w:rStyle w:val="Hyperlink"/>
            <w:rFonts w:ascii="Merriweather" w:hAnsi="Merriweather" w:cs="Times New Roman"/>
            <w:sz w:val="20"/>
            <w:szCs w:val="20"/>
          </w:rPr>
          <w:t>2 CFR 200.414</w:t>
        </w:r>
      </w:hyperlink>
      <w:r w:rsidRPr="00464C83">
        <w:rPr>
          <w:rFonts w:ascii="Merriweather" w:hAnsi="Merriweather" w:cs="Times New Roman"/>
          <w:sz w:val="20"/>
          <w:szCs w:val="20"/>
        </w:rPr>
        <w:t>) Award recipients may claim indirect costs based on a current and appropriate indirect cost rate agreement negotiated with a Federal agency (research rates do not apply) or a charge a de minimis rate of 10% on modified total direct costs (2 CFR 200.414 (f)). The organization cannot claim both overhead or administrative costs and indirect costs.</w:t>
      </w:r>
    </w:p>
    <w:p w14:paraId="68CC8785" w14:textId="77777777" w:rsidR="009E2357" w:rsidRPr="00464C83" w:rsidRDefault="009E2357" w:rsidP="00B136D5">
      <w:pPr>
        <w:numPr>
          <w:ilvl w:val="0"/>
          <w:numId w:val="2"/>
        </w:numPr>
        <w:tabs>
          <w:tab w:val="clear" w:pos="1080"/>
          <w:tab w:val="left" w:pos="450"/>
        </w:tabs>
        <w:spacing w:after="0" w:line="240" w:lineRule="auto"/>
        <w:ind w:left="450" w:hanging="450"/>
        <w:rPr>
          <w:rFonts w:ascii="Merriweather" w:hAnsi="Merriweather" w:cs="Times New Roman"/>
          <w:sz w:val="20"/>
          <w:szCs w:val="20"/>
        </w:rPr>
      </w:pPr>
      <w:r w:rsidRPr="00464C83">
        <w:rPr>
          <w:rFonts w:ascii="Merriweather" w:hAnsi="Merriweather" w:cs="Times New Roman"/>
          <w:b/>
          <w:sz w:val="20"/>
          <w:szCs w:val="20"/>
        </w:rPr>
        <w:t>Standards for Documentation of Personnel Expenses</w:t>
      </w:r>
      <w:r w:rsidRPr="00464C83">
        <w:rPr>
          <w:rFonts w:ascii="Merriweather" w:hAnsi="Merriweather" w:cs="Times New Roman"/>
          <w:sz w:val="20"/>
          <w:szCs w:val="20"/>
        </w:rPr>
        <w:t xml:space="preserve"> (</w:t>
      </w:r>
      <w:hyperlink r:id="rId38" w:anchor="se2.1.200_1430" w:history="1">
        <w:r w:rsidRPr="00464C83">
          <w:rPr>
            <w:rStyle w:val="Hyperlink"/>
            <w:rFonts w:ascii="Merriweather" w:hAnsi="Merriweather" w:cs="Times New Roman"/>
            <w:sz w:val="20"/>
            <w:szCs w:val="20"/>
          </w:rPr>
          <w:t>2 CFR 200.430 (</w:t>
        </w:r>
        <w:proofErr w:type="spellStart"/>
        <w:r w:rsidRPr="00464C83">
          <w:rPr>
            <w:rStyle w:val="Hyperlink"/>
            <w:rFonts w:ascii="Merriweather" w:hAnsi="Merriweather" w:cs="Times New Roman"/>
            <w:sz w:val="20"/>
            <w:szCs w:val="20"/>
          </w:rPr>
          <w:t>i</w:t>
        </w:r>
        <w:proofErr w:type="spellEnd"/>
        <w:r w:rsidRPr="00464C83">
          <w:rPr>
            <w:rStyle w:val="Hyperlink"/>
            <w:rFonts w:ascii="Merriweather" w:hAnsi="Merriweather" w:cs="Times New Roman"/>
            <w:sz w:val="20"/>
            <w:szCs w:val="20"/>
          </w:rPr>
          <w:t>)</w:t>
        </w:r>
      </w:hyperlink>
      <w:r w:rsidRPr="00464C83">
        <w:rPr>
          <w:rFonts w:ascii="Merriweather" w:hAnsi="Merriweather" w:cs="Times New Roman"/>
          <w:sz w:val="20"/>
          <w:szCs w:val="20"/>
        </w:rPr>
        <w:t xml:space="preserve">) Any salaries and wages included in the project’s budget must be based on records that accurately reflect the work performed. The records must comply with your organization’s internal controls and established accounting policies. Records </w:t>
      </w:r>
      <w:r w:rsidRPr="00464C83">
        <w:rPr>
          <w:rFonts w:ascii="Merriweather" w:hAnsi="Merriweather" w:cs="Times New Roman"/>
          <w:sz w:val="20"/>
          <w:szCs w:val="20"/>
        </w:rPr>
        <w:lastRenderedPageBreak/>
        <w:t xml:space="preserve">must support these costs for both the use of Federal funds and as the cost share or matching requirements. </w:t>
      </w:r>
    </w:p>
    <w:p w14:paraId="0977D542" w14:textId="58BD2207" w:rsidR="009E2357" w:rsidRPr="00464C83" w:rsidRDefault="009E2357" w:rsidP="00B136D5">
      <w:pPr>
        <w:numPr>
          <w:ilvl w:val="0"/>
          <w:numId w:val="2"/>
        </w:numPr>
        <w:tabs>
          <w:tab w:val="clear" w:pos="1080"/>
          <w:tab w:val="left" w:pos="450"/>
        </w:tabs>
        <w:spacing w:after="0" w:line="240" w:lineRule="auto"/>
        <w:ind w:left="450" w:hanging="450"/>
        <w:rPr>
          <w:rFonts w:ascii="Merriweather" w:hAnsi="Merriweather" w:cs="Times New Roman"/>
          <w:sz w:val="20"/>
          <w:szCs w:val="20"/>
        </w:rPr>
      </w:pPr>
      <w:r w:rsidRPr="00464C83">
        <w:rPr>
          <w:rFonts w:ascii="Merriweather" w:hAnsi="Merriweather" w:cs="Times New Roman"/>
          <w:b/>
          <w:sz w:val="20"/>
          <w:szCs w:val="20"/>
        </w:rPr>
        <w:t>Record Retention and Access</w:t>
      </w:r>
      <w:r w:rsidRPr="00464C83">
        <w:rPr>
          <w:rFonts w:ascii="Merriweather" w:hAnsi="Merriweather" w:cs="Times New Roman"/>
          <w:sz w:val="20"/>
          <w:szCs w:val="20"/>
        </w:rPr>
        <w:t xml:space="preserve"> (</w:t>
      </w:r>
      <w:hyperlink r:id="rId39" w:anchor="se2.1.200_1333" w:history="1">
        <w:r w:rsidRPr="00464C83">
          <w:rPr>
            <w:rStyle w:val="Hyperlink"/>
            <w:rFonts w:ascii="Merriweather" w:hAnsi="Merriweather" w:cs="Times New Roman"/>
            <w:sz w:val="20"/>
            <w:szCs w:val="20"/>
          </w:rPr>
          <w:t>2 CFR 200.333</w:t>
        </w:r>
      </w:hyperlink>
      <w:r w:rsidRPr="00464C83">
        <w:rPr>
          <w:rFonts w:ascii="Merriweather" w:hAnsi="Merriweather" w:cs="Times New Roman"/>
          <w:sz w:val="20"/>
          <w:szCs w:val="20"/>
        </w:rPr>
        <w:t xml:space="preserve">) Records of the project supported by Federal funds, including financial and supporting documents, must be retained for a period of three years after </w:t>
      </w:r>
      <w:r w:rsidR="00F12F16">
        <w:rPr>
          <w:rFonts w:ascii="Merriweather" w:hAnsi="Merriweather" w:cs="Times New Roman"/>
          <w:sz w:val="20"/>
          <w:szCs w:val="20"/>
        </w:rPr>
        <w:t>the date of the final report</w:t>
      </w:r>
      <w:r w:rsidRPr="00464C83">
        <w:rPr>
          <w:rFonts w:ascii="Merriweather" w:hAnsi="Merriweather" w:cs="Times New Roman"/>
          <w:sz w:val="20"/>
          <w:szCs w:val="20"/>
        </w:rPr>
        <w:t>. Award recipients must permit Arts Midwest and its auditor access to recipient’s records and financial statements, as necessary, to ensure the compliance with Federal award requirements.</w:t>
      </w:r>
    </w:p>
    <w:p w14:paraId="553CF395" w14:textId="77777777" w:rsidR="009E2357" w:rsidRPr="00464C83" w:rsidRDefault="009E2357" w:rsidP="00B136D5">
      <w:pPr>
        <w:numPr>
          <w:ilvl w:val="0"/>
          <w:numId w:val="2"/>
        </w:numPr>
        <w:tabs>
          <w:tab w:val="clear" w:pos="1080"/>
          <w:tab w:val="left" w:pos="450"/>
        </w:tabs>
        <w:spacing w:after="0" w:line="240" w:lineRule="auto"/>
        <w:ind w:left="450" w:hanging="450"/>
        <w:rPr>
          <w:rFonts w:ascii="Merriweather" w:hAnsi="Merriweather" w:cs="Times New Roman"/>
          <w:sz w:val="20"/>
          <w:szCs w:val="20"/>
        </w:rPr>
      </w:pPr>
      <w:r w:rsidRPr="00464C83">
        <w:rPr>
          <w:rFonts w:ascii="Merriweather" w:hAnsi="Merriweather" w:cs="Times New Roman"/>
          <w:b/>
          <w:sz w:val="20"/>
          <w:szCs w:val="20"/>
        </w:rPr>
        <w:t>Working conditions</w:t>
      </w:r>
      <w:r w:rsidRPr="00464C83">
        <w:rPr>
          <w:rFonts w:ascii="Merriweather" w:hAnsi="Merriweather" w:cs="Times New Roman"/>
          <w:sz w:val="20"/>
          <w:szCs w:val="20"/>
        </w:rPr>
        <w:t xml:space="preserve"> Any project supported by Federal funds will not be performed or engaged in working conditions which are unsanitary, hazardous, or dangerous to the health and safety of those involved.</w:t>
      </w:r>
    </w:p>
    <w:p w14:paraId="1E597439" w14:textId="07C8116E" w:rsidR="009E2357" w:rsidRPr="00464C83" w:rsidRDefault="009E2357" w:rsidP="00B136D5">
      <w:pPr>
        <w:numPr>
          <w:ilvl w:val="0"/>
          <w:numId w:val="2"/>
        </w:numPr>
        <w:tabs>
          <w:tab w:val="clear" w:pos="1080"/>
          <w:tab w:val="left" w:pos="450"/>
        </w:tabs>
        <w:spacing w:after="0" w:line="240" w:lineRule="auto"/>
        <w:ind w:left="450" w:hanging="450"/>
        <w:rPr>
          <w:rFonts w:ascii="Merriweather" w:hAnsi="Merriweather" w:cs="Times New Roman"/>
          <w:sz w:val="20"/>
          <w:szCs w:val="20"/>
        </w:rPr>
      </w:pPr>
      <w:r w:rsidRPr="00464C83">
        <w:rPr>
          <w:rFonts w:ascii="Merriweather" w:hAnsi="Merriweather" w:cs="Times New Roman"/>
          <w:b/>
          <w:sz w:val="20"/>
          <w:szCs w:val="20"/>
        </w:rPr>
        <w:t>Audit requirements</w:t>
      </w:r>
      <w:r w:rsidRPr="00464C83">
        <w:rPr>
          <w:rFonts w:ascii="Merriweather" w:hAnsi="Merriweather" w:cs="Times New Roman"/>
          <w:sz w:val="20"/>
          <w:szCs w:val="20"/>
        </w:rPr>
        <w:t xml:space="preserve"> (</w:t>
      </w:r>
      <w:hyperlink r:id="rId40" w:anchor="se2.1.200_1501" w:history="1">
        <w:r w:rsidRPr="00464C83">
          <w:rPr>
            <w:rStyle w:val="Hyperlink"/>
            <w:rFonts w:ascii="Merriweather" w:hAnsi="Merriweather" w:cs="Times New Roman"/>
            <w:sz w:val="20"/>
            <w:szCs w:val="20"/>
          </w:rPr>
          <w:t>2 CFR 200.501</w:t>
        </w:r>
      </w:hyperlink>
      <w:r w:rsidRPr="00464C83">
        <w:rPr>
          <w:rFonts w:ascii="Merriweather" w:hAnsi="Merriweather" w:cs="Times New Roman"/>
          <w:sz w:val="20"/>
          <w:szCs w:val="20"/>
        </w:rPr>
        <w:t xml:space="preserve">) The threshold for requiring a Single Audit or Program-Specific Audit is $750,000 in yearly expenditures of Federal funds. This amount is the aggregate of funds from all Federal sources. The percentage of costs related to an award supported by the </w:t>
      </w:r>
      <w:r w:rsidR="00EC3693">
        <w:rPr>
          <w:rFonts w:ascii="Merriweather" w:hAnsi="Merriweather" w:cs="Times New Roman"/>
          <w:sz w:val="20"/>
          <w:szCs w:val="20"/>
        </w:rPr>
        <w:t>program</w:t>
      </w:r>
      <w:r w:rsidRPr="00464C83">
        <w:rPr>
          <w:rFonts w:ascii="Merriweather" w:hAnsi="Merriweather" w:cs="Times New Roman"/>
          <w:sz w:val="20"/>
          <w:szCs w:val="20"/>
        </w:rPr>
        <w:t xml:space="preserve"> that would be included in this audit may be allowable. </w:t>
      </w:r>
      <w:r w:rsidR="004A30DD" w:rsidRPr="004A30DD">
        <w:rPr>
          <w:rFonts w:ascii="Merriweather" w:hAnsi="Merriweather" w:cs="Times New Roman"/>
          <w:sz w:val="20"/>
          <w:szCs w:val="20"/>
        </w:rPr>
        <w:t>G</w:t>
      </w:r>
      <w:r w:rsidR="004A30DD">
        <w:rPr>
          <w:rFonts w:ascii="Merriweather" w:hAnsi="Merriweather" w:cs="Times New Roman"/>
          <w:sz w:val="20"/>
          <w:szCs w:val="20"/>
        </w:rPr>
        <w:t>RANTEE</w:t>
      </w:r>
      <w:r w:rsidR="004A30DD" w:rsidRPr="004A30DD">
        <w:rPr>
          <w:rFonts w:ascii="Merriweather" w:hAnsi="Merriweather" w:cs="Times New Roman"/>
          <w:sz w:val="20"/>
          <w:szCs w:val="20"/>
        </w:rPr>
        <w:t xml:space="preserve"> certifies that, if G</w:t>
      </w:r>
      <w:r w:rsidR="004A30DD">
        <w:rPr>
          <w:rFonts w:ascii="Merriweather" w:hAnsi="Merriweather" w:cs="Times New Roman"/>
          <w:sz w:val="20"/>
          <w:szCs w:val="20"/>
        </w:rPr>
        <w:t>RANTEE</w:t>
      </w:r>
      <w:r w:rsidR="004A30DD" w:rsidRPr="004A30DD">
        <w:rPr>
          <w:rFonts w:ascii="Merriweather" w:hAnsi="Merriweather" w:cs="Times New Roman"/>
          <w:sz w:val="20"/>
          <w:szCs w:val="20"/>
        </w:rPr>
        <w:t xml:space="preserve"> expends $750,000 or more in yearly expenditures of Federal awards during a fiscal year, it shall have an audit performed in accordance with the </w:t>
      </w:r>
      <w:hyperlink r:id="rId41" w:history="1">
        <w:r w:rsidR="004A30DD" w:rsidRPr="004A30DD">
          <w:rPr>
            <w:rStyle w:val="Hyperlink"/>
            <w:rFonts w:ascii="Merriweather" w:hAnsi="Merriweather" w:cs="Times New Roman"/>
            <w:sz w:val="20"/>
            <w:szCs w:val="20"/>
          </w:rPr>
          <w:t>Office of Management and Budget Uniform Guidance</w:t>
        </w:r>
      </w:hyperlink>
      <w:r w:rsidR="004A30DD" w:rsidRPr="004A30DD">
        <w:rPr>
          <w:rFonts w:ascii="Merriweather" w:hAnsi="Merriweather" w:cs="Times New Roman"/>
          <w:sz w:val="20"/>
          <w:szCs w:val="20"/>
        </w:rPr>
        <w:t xml:space="preserve">. Grantee will also take prompt corrective action on any audit findings and will send </w:t>
      </w:r>
      <w:r w:rsidR="004A30DD">
        <w:rPr>
          <w:rFonts w:ascii="Merriweather" w:hAnsi="Merriweather" w:cs="Times New Roman"/>
          <w:sz w:val="20"/>
          <w:szCs w:val="20"/>
        </w:rPr>
        <w:t xml:space="preserve">Arts Midwest </w:t>
      </w:r>
      <w:r w:rsidR="004A30DD" w:rsidRPr="004A30DD">
        <w:rPr>
          <w:rFonts w:ascii="Merriweather" w:hAnsi="Merriweather" w:cs="Times New Roman"/>
          <w:sz w:val="20"/>
          <w:szCs w:val="20"/>
        </w:rPr>
        <w:t>proof of implementation of such corrective action plans.</w:t>
      </w:r>
    </w:p>
    <w:p w14:paraId="68CC610F" w14:textId="77777777" w:rsidR="009E2357" w:rsidRPr="00464C83" w:rsidRDefault="009E2357" w:rsidP="009E2357">
      <w:pPr>
        <w:pStyle w:val="Heading2"/>
      </w:pPr>
      <w:r w:rsidRPr="00464C83">
        <w:t>More information</w:t>
      </w:r>
    </w:p>
    <w:p w14:paraId="03B458B1" w14:textId="77777777" w:rsidR="009E2357" w:rsidRPr="00464C83" w:rsidRDefault="0063541B" w:rsidP="00B136D5">
      <w:pPr>
        <w:pStyle w:val="ListParagraph"/>
        <w:numPr>
          <w:ilvl w:val="0"/>
          <w:numId w:val="4"/>
        </w:numPr>
        <w:spacing w:after="0" w:line="240" w:lineRule="auto"/>
        <w:rPr>
          <w:rFonts w:ascii="Merriweather" w:hAnsi="Merriweather" w:cs="Times New Roman"/>
          <w:sz w:val="20"/>
          <w:szCs w:val="20"/>
        </w:rPr>
      </w:pPr>
      <w:hyperlink r:id="rId42" w:history="1">
        <w:r w:rsidR="009E2357" w:rsidRPr="00464C83">
          <w:rPr>
            <w:rStyle w:val="Hyperlink"/>
            <w:rFonts w:ascii="Merriweather" w:hAnsi="Merriweather" w:cs="Times New Roman"/>
            <w:sz w:val="20"/>
            <w:szCs w:val="20"/>
          </w:rPr>
          <w:t>Uniform Administrative Requirements, Costs Principles, and Audit Requirements for Federal Awards</w:t>
        </w:r>
      </w:hyperlink>
      <w:r w:rsidR="009E2357" w:rsidRPr="00464C83">
        <w:rPr>
          <w:rFonts w:ascii="Merriweather" w:hAnsi="Merriweather" w:cs="Times New Roman"/>
          <w:sz w:val="20"/>
          <w:szCs w:val="20"/>
        </w:rPr>
        <w:t xml:space="preserve"> (Uniform Guidance of Federal Awards: 2 CFR)</w:t>
      </w:r>
    </w:p>
    <w:p w14:paraId="38BB226B" w14:textId="77777777" w:rsidR="009E2357" w:rsidRPr="00464C83" w:rsidRDefault="0063541B" w:rsidP="00B136D5">
      <w:pPr>
        <w:pStyle w:val="ListParagraph"/>
        <w:numPr>
          <w:ilvl w:val="0"/>
          <w:numId w:val="4"/>
        </w:numPr>
        <w:spacing w:after="0" w:line="240" w:lineRule="auto"/>
        <w:rPr>
          <w:rFonts w:ascii="Merriweather" w:hAnsi="Merriweather" w:cs="Times New Roman"/>
          <w:sz w:val="20"/>
          <w:szCs w:val="20"/>
        </w:rPr>
      </w:pPr>
      <w:hyperlink r:id="rId43" w:history="1">
        <w:r w:rsidR="009E2357" w:rsidRPr="00464C83">
          <w:rPr>
            <w:rStyle w:val="Hyperlink"/>
            <w:rFonts w:ascii="Merriweather" w:hAnsi="Merriweather" w:cs="Times New Roman"/>
            <w:sz w:val="20"/>
            <w:szCs w:val="20"/>
          </w:rPr>
          <w:t>National Endowment for the Arts Office of Civil Rights</w:t>
        </w:r>
      </w:hyperlink>
      <w:r w:rsidR="009E2357" w:rsidRPr="00464C83">
        <w:rPr>
          <w:rFonts w:ascii="Merriweather" w:hAnsi="Merriweather" w:cs="Times New Roman"/>
          <w:sz w:val="20"/>
          <w:szCs w:val="20"/>
        </w:rPr>
        <w:t xml:space="preserve"> </w:t>
      </w:r>
    </w:p>
    <w:p w14:paraId="7E242B79" w14:textId="77777777" w:rsidR="009E2357" w:rsidRPr="00464C83" w:rsidRDefault="009E2357" w:rsidP="009E2357">
      <w:pPr>
        <w:spacing w:after="0" w:line="240" w:lineRule="auto"/>
        <w:rPr>
          <w:rFonts w:ascii="Merriweather" w:hAnsi="Merriweather" w:cs="Times New Roman"/>
          <w:sz w:val="20"/>
          <w:szCs w:val="20"/>
        </w:rPr>
      </w:pPr>
    </w:p>
    <w:p w14:paraId="4CA4C189" w14:textId="77777777" w:rsidR="009E2357" w:rsidRPr="00464C83" w:rsidRDefault="009E2357" w:rsidP="009E2357">
      <w:pPr>
        <w:spacing w:after="0" w:line="240" w:lineRule="auto"/>
        <w:rPr>
          <w:rFonts w:ascii="Merriweather" w:hAnsi="Merriweather" w:cs="Times New Roman"/>
          <w:sz w:val="20"/>
          <w:szCs w:val="20"/>
        </w:rPr>
      </w:pPr>
    </w:p>
    <w:p w14:paraId="67A172EB" w14:textId="4968D13C" w:rsidR="009E2357" w:rsidRPr="00464C83" w:rsidRDefault="00547021" w:rsidP="009E2357">
      <w:pPr>
        <w:spacing w:after="0" w:line="240" w:lineRule="auto"/>
        <w:rPr>
          <w:rFonts w:ascii="Merriweather" w:hAnsi="Merriweather" w:cs="Times New Roman"/>
          <w:sz w:val="20"/>
          <w:szCs w:val="20"/>
        </w:rPr>
      </w:pPr>
      <w:r w:rsidRPr="00547021">
        <w:rPr>
          <w:rFonts w:ascii="Merriweather" w:hAnsi="Merriweather" w:cs="Times New Roman"/>
          <w:sz w:val="20"/>
          <w:szCs w:val="20"/>
        </w:rPr>
        <w:t>Failure to comply with these requirements may result in suspension or termination of the grant award. In addition, the United States has the right to seek judicial enforcement of these obligations.</w:t>
      </w:r>
    </w:p>
    <w:p w14:paraId="37C28C85" w14:textId="77777777" w:rsidR="009E2357" w:rsidRPr="00464C83" w:rsidRDefault="009E2357" w:rsidP="009E2357">
      <w:pPr>
        <w:spacing w:after="0" w:line="240" w:lineRule="auto"/>
        <w:rPr>
          <w:rFonts w:ascii="Merriweather" w:hAnsi="Merriweather" w:cs="Times New Roman"/>
          <w:sz w:val="20"/>
          <w:szCs w:val="20"/>
        </w:rPr>
      </w:pPr>
    </w:p>
    <w:p w14:paraId="3D959A6A" w14:textId="77777777" w:rsidR="009E2357" w:rsidRPr="00464C83" w:rsidRDefault="009E2357" w:rsidP="009E2357">
      <w:pPr>
        <w:spacing w:after="0" w:line="240" w:lineRule="auto"/>
        <w:rPr>
          <w:rFonts w:ascii="Merriweather" w:hAnsi="Merriweather" w:cs="Times New Roman"/>
          <w:sz w:val="20"/>
          <w:szCs w:val="20"/>
        </w:rPr>
      </w:pPr>
    </w:p>
    <w:p w14:paraId="2F51B504" w14:textId="77777777" w:rsidR="009E2357" w:rsidRPr="00464C83" w:rsidRDefault="009E2357" w:rsidP="009E2357">
      <w:pPr>
        <w:spacing w:after="0" w:line="240" w:lineRule="auto"/>
        <w:rPr>
          <w:rFonts w:ascii="Merriweather" w:hAnsi="Merriweather" w:cs="Times New Roman"/>
          <w:sz w:val="20"/>
          <w:szCs w:val="20"/>
        </w:rPr>
      </w:pPr>
    </w:p>
    <w:p w14:paraId="6C9A327E" w14:textId="77777777" w:rsidR="009E2357" w:rsidRPr="00464C83" w:rsidRDefault="009E2357" w:rsidP="009E2357">
      <w:pPr>
        <w:spacing w:after="0" w:line="240" w:lineRule="auto"/>
        <w:rPr>
          <w:rFonts w:ascii="Merriweather" w:hAnsi="Merriweather" w:cs="Times New Roman"/>
          <w:sz w:val="20"/>
          <w:szCs w:val="20"/>
        </w:rPr>
      </w:pPr>
    </w:p>
    <w:p w14:paraId="728FF605" w14:textId="77777777" w:rsidR="009E2357" w:rsidRPr="00464C83" w:rsidRDefault="009E2357" w:rsidP="009E2357">
      <w:pPr>
        <w:spacing w:after="0" w:line="240" w:lineRule="auto"/>
        <w:rPr>
          <w:rFonts w:ascii="Merriweather" w:hAnsi="Merriweather" w:cs="Times New Roman"/>
          <w:sz w:val="20"/>
          <w:szCs w:val="20"/>
        </w:rPr>
      </w:pPr>
    </w:p>
    <w:p w14:paraId="17DE0D8A" w14:textId="77777777" w:rsidR="009E2357" w:rsidRPr="00464C83" w:rsidRDefault="009E2357" w:rsidP="009E2357">
      <w:pPr>
        <w:spacing w:after="0" w:line="240" w:lineRule="auto"/>
        <w:rPr>
          <w:rFonts w:ascii="Merriweather" w:hAnsi="Merriweather" w:cs="Times New Roman"/>
          <w:sz w:val="20"/>
          <w:szCs w:val="20"/>
        </w:rPr>
      </w:pPr>
    </w:p>
    <w:p w14:paraId="3CBA1404" w14:textId="77777777" w:rsidR="009E2357" w:rsidRPr="00464C83" w:rsidRDefault="009E2357" w:rsidP="009E2357">
      <w:pPr>
        <w:spacing w:after="0" w:line="240" w:lineRule="auto"/>
        <w:rPr>
          <w:rFonts w:ascii="Merriweather" w:hAnsi="Merriweather" w:cs="Times New Roman"/>
          <w:sz w:val="20"/>
          <w:szCs w:val="20"/>
        </w:rPr>
      </w:pPr>
    </w:p>
    <w:p w14:paraId="499EAFB9" w14:textId="77777777" w:rsidR="009E2357" w:rsidRPr="00464C83" w:rsidRDefault="009E2357" w:rsidP="009E2357">
      <w:pPr>
        <w:spacing w:after="0" w:line="240" w:lineRule="auto"/>
        <w:rPr>
          <w:rFonts w:ascii="Merriweather" w:hAnsi="Merriweather" w:cs="Times New Roman"/>
          <w:sz w:val="20"/>
          <w:szCs w:val="20"/>
        </w:rPr>
      </w:pPr>
    </w:p>
    <w:p w14:paraId="67C836FA" w14:textId="77777777" w:rsidR="009E2357" w:rsidRDefault="009E2357" w:rsidP="009E2357">
      <w:pPr>
        <w:tabs>
          <w:tab w:val="left" w:pos="3530"/>
        </w:tabs>
        <w:spacing w:after="0" w:line="240" w:lineRule="auto"/>
        <w:rPr>
          <w:rFonts w:ascii="Merriweather" w:hAnsi="Merriweather" w:cs="Times New Roman"/>
          <w:sz w:val="20"/>
          <w:szCs w:val="20"/>
        </w:rPr>
      </w:pPr>
      <w:r>
        <w:rPr>
          <w:rFonts w:ascii="Merriweather" w:hAnsi="Merriweather" w:cs="Times New Roman"/>
          <w:sz w:val="20"/>
          <w:szCs w:val="20"/>
        </w:rPr>
        <w:tab/>
      </w:r>
    </w:p>
    <w:p w14:paraId="06F20ECF" w14:textId="77777777" w:rsidR="009E2357" w:rsidRDefault="009E2357" w:rsidP="009E2357">
      <w:pPr>
        <w:tabs>
          <w:tab w:val="left" w:pos="3530"/>
        </w:tabs>
        <w:spacing w:after="0" w:line="240" w:lineRule="auto"/>
        <w:rPr>
          <w:rFonts w:ascii="Merriweather" w:hAnsi="Merriweather" w:cs="Times New Roman"/>
          <w:sz w:val="20"/>
          <w:szCs w:val="20"/>
        </w:rPr>
      </w:pPr>
    </w:p>
    <w:p w14:paraId="0F2EC397" w14:textId="77777777" w:rsidR="009E2357" w:rsidRDefault="009E2357" w:rsidP="009E2357">
      <w:pPr>
        <w:tabs>
          <w:tab w:val="left" w:pos="3530"/>
        </w:tabs>
        <w:spacing w:after="0" w:line="240" w:lineRule="auto"/>
        <w:rPr>
          <w:rFonts w:ascii="Merriweather" w:hAnsi="Merriweather" w:cs="Times New Roman"/>
          <w:sz w:val="20"/>
          <w:szCs w:val="20"/>
        </w:rPr>
      </w:pPr>
    </w:p>
    <w:p w14:paraId="101227AA" w14:textId="77777777" w:rsidR="009E2357" w:rsidRDefault="009E2357" w:rsidP="009E2357">
      <w:pPr>
        <w:tabs>
          <w:tab w:val="left" w:pos="3530"/>
        </w:tabs>
        <w:spacing w:after="0" w:line="240" w:lineRule="auto"/>
        <w:rPr>
          <w:rFonts w:ascii="Merriweather" w:hAnsi="Merriweather" w:cs="Times New Roman"/>
          <w:sz w:val="20"/>
          <w:szCs w:val="20"/>
        </w:rPr>
      </w:pPr>
    </w:p>
    <w:p w14:paraId="238853E4" w14:textId="77777777" w:rsidR="009E2357" w:rsidRPr="00464C83" w:rsidRDefault="009E2357" w:rsidP="009E2357">
      <w:pPr>
        <w:tabs>
          <w:tab w:val="left" w:pos="3530"/>
        </w:tabs>
        <w:spacing w:after="0" w:line="240" w:lineRule="auto"/>
        <w:rPr>
          <w:rFonts w:ascii="Merriweather" w:hAnsi="Merriweather" w:cs="Times New Roman"/>
          <w:sz w:val="20"/>
          <w:szCs w:val="20"/>
        </w:rPr>
      </w:pPr>
    </w:p>
    <w:p w14:paraId="40070EF8" w14:textId="77777777" w:rsidR="009E2357" w:rsidRPr="00464C83" w:rsidRDefault="009E2357" w:rsidP="009E2357">
      <w:pPr>
        <w:spacing w:after="0" w:line="240" w:lineRule="auto"/>
        <w:rPr>
          <w:rFonts w:ascii="Merriweather" w:hAnsi="Merriweather" w:cs="Times New Roman"/>
          <w:sz w:val="20"/>
          <w:szCs w:val="20"/>
        </w:rPr>
      </w:pPr>
    </w:p>
    <w:p w14:paraId="69D62253" w14:textId="77777777" w:rsidR="009E2357" w:rsidRPr="00464C83" w:rsidRDefault="009E2357" w:rsidP="009E2357">
      <w:pPr>
        <w:spacing w:after="0" w:line="240" w:lineRule="auto"/>
        <w:rPr>
          <w:rFonts w:ascii="Merriweather" w:hAnsi="Merriweather" w:cs="Times New Roman"/>
          <w:sz w:val="20"/>
          <w:szCs w:val="20"/>
        </w:rPr>
      </w:pPr>
    </w:p>
    <w:p w14:paraId="56EFA903" w14:textId="77777777" w:rsidR="009E2357" w:rsidRPr="00464C83" w:rsidRDefault="009E2357" w:rsidP="009E2357">
      <w:pPr>
        <w:spacing w:after="0" w:line="240" w:lineRule="auto"/>
        <w:rPr>
          <w:rFonts w:ascii="Merriweather" w:hAnsi="Merriweather" w:cs="Times New Roman"/>
          <w:sz w:val="20"/>
          <w:szCs w:val="20"/>
        </w:rPr>
      </w:pPr>
    </w:p>
    <w:p w14:paraId="4333B048" w14:textId="77777777" w:rsidR="009E2357" w:rsidRDefault="009E2357" w:rsidP="009E2357"/>
    <w:p w14:paraId="51D3FD80" w14:textId="426676C8" w:rsidR="009E2357" w:rsidRDefault="009E2357" w:rsidP="00F063CA"/>
    <w:p w14:paraId="6FE7A27B" w14:textId="245141FF" w:rsidR="005A099A" w:rsidRDefault="005A099A" w:rsidP="00F063CA"/>
    <w:p w14:paraId="5C5D8A1C" w14:textId="0B88300A" w:rsidR="005A099A" w:rsidRDefault="005A099A" w:rsidP="00F063CA"/>
    <w:p w14:paraId="595FFC40" w14:textId="2E1696BA" w:rsidR="00BE1EEE" w:rsidRDefault="00BE1EEE" w:rsidP="00BE1EEE">
      <w:pPr>
        <w:pStyle w:val="Title"/>
        <w:rPr>
          <w:sz w:val="48"/>
          <w:szCs w:val="48"/>
        </w:rPr>
      </w:pPr>
      <w:bookmarkStart w:id="1" w:name="_Hlk42772966"/>
      <w:bookmarkEnd w:id="1"/>
      <w:r>
        <w:rPr>
          <w:sz w:val="48"/>
          <w:szCs w:val="48"/>
        </w:rPr>
        <w:lastRenderedPageBreak/>
        <w:t>Attachment B: Media Consent and Guidelines</w:t>
      </w:r>
    </w:p>
    <w:p w14:paraId="33A12341" w14:textId="7066254D" w:rsidR="00BE1EEE" w:rsidRDefault="00BE1EEE" w:rsidP="00BE1EEE"/>
    <w:p w14:paraId="476332A3" w14:textId="659D9999" w:rsidR="00D74AD7" w:rsidRPr="00D74AD7" w:rsidRDefault="00D74AD7" w:rsidP="00D74AD7">
      <w:r w:rsidRPr="00D74AD7">
        <w:t>Picture</w:t>
      </w:r>
      <w:r w:rsidR="009B64B7">
        <w:t>s and videos</w:t>
      </w:r>
      <w:r w:rsidRPr="00D74AD7">
        <w:t xml:space="preserve"> are worth a thousand words when it comes to describing the beauty, impact</w:t>
      </w:r>
      <w:r w:rsidR="009B64B7">
        <w:t>,</w:t>
      </w:r>
      <w:r w:rsidRPr="00D74AD7">
        <w:t xml:space="preserve"> and response to the projects and activities </w:t>
      </w:r>
      <w:r w:rsidR="00257D44">
        <w:t>presented for this project</w:t>
      </w:r>
      <w:r w:rsidRPr="00D74AD7">
        <w:t xml:space="preserve">. Furthermore, still and moving images reinforce all efforts to bring more resources not only to the projects and activities, but also to </w:t>
      </w:r>
      <w:r w:rsidR="009653E8">
        <w:t>Arts Midwest’s</w:t>
      </w:r>
      <w:r w:rsidRPr="00D74AD7">
        <w:t xml:space="preserve"> programs.</w:t>
      </w:r>
    </w:p>
    <w:p w14:paraId="439A6823" w14:textId="77777777" w:rsidR="00D74AD7" w:rsidRPr="00D74AD7" w:rsidRDefault="00D74AD7" w:rsidP="009653E8">
      <w:pPr>
        <w:pStyle w:val="Heading2"/>
      </w:pPr>
      <w:r w:rsidRPr="00D74AD7">
        <w:t>Copyright</w:t>
      </w:r>
    </w:p>
    <w:p w14:paraId="1599E727" w14:textId="78FD76A8" w:rsidR="00D74AD7" w:rsidRPr="00D74AD7" w:rsidRDefault="00D74AD7" w:rsidP="00D74AD7">
      <w:r w:rsidRPr="00D74AD7">
        <w:t xml:space="preserve">All photographs and digital media submitted to </w:t>
      </w:r>
      <w:r w:rsidR="009653E8">
        <w:t>Arts Midwest</w:t>
      </w:r>
      <w:r w:rsidRPr="00D74AD7">
        <w:t xml:space="preserve"> presumes an assurance that </w:t>
      </w:r>
      <w:r w:rsidR="009653E8" w:rsidRPr="009653E8">
        <w:rPr>
          <w:b/>
          <w:bCs/>
        </w:rPr>
        <w:t>GRANTEE</w:t>
      </w:r>
      <w:r w:rsidRPr="00D74AD7">
        <w:t xml:space="preserve"> owns the copyright for said material. Furthermore, upon submission it is understood that </w:t>
      </w:r>
      <w:r w:rsidR="009653E8">
        <w:t>Arts Midwest and the National Endowment for the Arts are</w:t>
      </w:r>
      <w:r w:rsidRPr="00D74AD7">
        <w:t xml:space="preserve"> permitted to use the images in its reports and publications, as well as in its meeting and web presentations. </w:t>
      </w:r>
      <w:r w:rsidR="009653E8">
        <w:t>Arts Midwest and the National Endowment for the Arts</w:t>
      </w:r>
      <w:r w:rsidRPr="00D74AD7">
        <w:t xml:space="preserve"> will credit the images accordingly. </w:t>
      </w:r>
    </w:p>
    <w:p w14:paraId="4C456DE0" w14:textId="0A273E69" w:rsidR="00D74AD7" w:rsidRPr="00D74AD7" w:rsidRDefault="00257D44" w:rsidP="00D74AD7">
      <w:r w:rsidRPr="00257D44">
        <w:rPr>
          <w:b/>
          <w:bCs/>
        </w:rPr>
        <w:t>GRANTEE</w:t>
      </w:r>
      <w:r w:rsidR="00D74AD7" w:rsidRPr="00D74AD7">
        <w:t xml:space="preserve"> may arrange to copyright any materials developed from the work undertaken during the period of support without prior approval from </w:t>
      </w:r>
      <w:r>
        <w:t>Arts Midwest</w:t>
      </w:r>
      <w:r w:rsidR="00D74AD7" w:rsidRPr="00D74AD7">
        <w:t xml:space="preserve">. For procedural information, contact: U.S. Copyright Office, Library of Congress, </w:t>
      </w:r>
      <w:hyperlink r:id="rId44" w:history="1">
        <w:r w:rsidR="00D74AD7" w:rsidRPr="00D74AD7">
          <w:rPr>
            <w:rStyle w:val="Hyperlink"/>
          </w:rPr>
          <w:t>www.copyright.gov</w:t>
        </w:r>
      </w:hyperlink>
      <w:r w:rsidR="00D74AD7" w:rsidRPr="00D74AD7">
        <w:t>. </w:t>
      </w:r>
    </w:p>
    <w:p w14:paraId="1E9518BF" w14:textId="5B089902" w:rsidR="00D74AD7" w:rsidRPr="00D74AD7" w:rsidRDefault="00D74AD7" w:rsidP="00D74AD7">
      <w:r w:rsidRPr="00D74AD7">
        <w:t xml:space="preserve">Unless otherwise specified in the award, </w:t>
      </w:r>
      <w:r w:rsidR="00257D44">
        <w:t>Arts Midwest and the National Endowment for the Arts are</w:t>
      </w:r>
      <w:r w:rsidRPr="00D74AD7">
        <w:t xml:space="preserve"> not entitled to receive royalties from work supported or made possible by a grant or cooperative agreement; however, </w:t>
      </w:r>
      <w:r w:rsidR="00257D44">
        <w:t>Arts Midwest</w:t>
      </w:r>
      <w:r w:rsidRPr="00D74AD7">
        <w:t xml:space="preserve"> </w:t>
      </w:r>
      <w:r w:rsidR="00257D44">
        <w:t xml:space="preserve">and the National Endowment for the Arts </w:t>
      </w:r>
      <w:r w:rsidRPr="00D74AD7">
        <w:t xml:space="preserve">retain a royalty-free right to use such work for </w:t>
      </w:r>
      <w:r w:rsidR="00257D44">
        <w:t>Arts Midwest and the National Endowment for the Arts</w:t>
      </w:r>
      <w:r w:rsidRPr="00D74AD7">
        <w:t xml:space="preserve"> purposes (e.g., the use of final report final products to document the results of </w:t>
      </w:r>
      <w:r>
        <w:t>A</w:t>
      </w:r>
      <w:r w:rsidR="00257D44">
        <w:t>rts Midwest</w:t>
      </w:r>
      <w:r w:rsidRPr="00D74AD7">
        <w:t xml:space="preserve"> </w:t>
      </w:r>
      <w:r w:rsidR="00257D44">
        <w:t xml:space="preserve">and the National Endowment for the Arts </w:t>
      </w:r>
      <w:r w:rsidRPr="00D74AD7">
        <w:t xml:space="preserve">award programs), including placement on the </w:t>
      </w:r>
      <w:r w:rsidR="00257D44">
        <w:t>Arts Midwest and the National Endowment for the Arts</w:t>
      </w:r>
      <w:r w:rsidRPr="00D74AD7">
        <w:t xml:space="preserve"> websites. </w:t>
      </w:r>
    </w:p>
    <w:p w14:paraId="58E32037" w14:textId="6C988A44" w:rsidR="00D74AD7" w:rsidRPr="00D74AD7" w:rsidRDefault="00257D44" w:rsidP="00D74AD7">
      <w:r>
        <w:t>Arts Midwest and the National Endowment for the Arts</w:t>
      </w:r>
      <w:r w:rsidR="00D74AD7" w:rsidRPr="00D74AD7">
        <w:t xml:space="preserve"> strongly recommend that any publication resulting from an award be cataloged by the Cataloging in Publication Program of the Library of Congress before final printing. This method of cataloging enables libraries to acquire and process books quickly. </w:t>
      </w:r>
      <w:proofErr w:type="gramStart"/>
      <w:r w:rsidR="00D74AD7" w:rsidRPr="00D74AD7">
        <w:t>Publishers</w:t>
      </w:r>
      <w:proofErr w:type="gramEnd"/>
      <w:r w:rsidR="00D74AD7" w:rsidRPr="00D74AD7">
        <w:t xml:space="preserve"> ineligible for this program may be eligible for the Library's Preassigned Card Number Program. Entering these titles in a </w:t>
      </w:r>
      <w:proofErr w:type="gramStart"/>
      <w:r w:rsidR="00D74AD7" w:rsidRPr="00D74AD7">
        <w:t>national bibliographic database leads</w:t>
      </w:r>
      <w:proofErr w:type="gramEnd"/>
      <w:r w:rsidR="00D74AD7" w:rsidRPr="00D74AD7">
        <w:t xml:space="preserve"> to greater dissemination of publications. For procedural information, contact: Library of Congress, </w:t>
      </w:r>
      <w:hyperlink r:id="rId45" w:history="1">
        <w:r w:rsidR="00D74AD7" w:rsidRPr="00D74AD7">
          <w:rPr>
            <w:rStyle w:val="Hyperlink"/>
          </w:rPr>
          <w:t>http://www.loc.gov/publish/cip/</w:t>
        </w:r>
      </w:hyperlink>
      <w:r w:rsidR="00D74AD7" w:rsidRPr="00D74AD7">
        <w:t>.</w:t>
      </w:r>
    </w:p>
    <w:p w14:paraId="1C57CD1A" w14:textId="77777777" w:rsidR="00D74AD7" w:rsidRPr="00D74AD7" w:rsidRDefault="00D74AD7" w:rsidP="003272F5">
      <w:pPr>
        <w:pStyle w:val="Heading2"/>
      </w:pPr>
      <w:r w:rsidRPr="00D74AD7">
        <w:t>Format</w:t>
      </w:r>
    </w:p>
    <w:p w14:paraId="6F64203B" w14:textId="0E0530B6" w:rsidR="00D74AD7" w:rsidRPr="00D74AD7" w:rsidRDefault="00257D44" w:rsidP="00D74AD7">
      <w:r>
        <w:t>Arts Midwest</w:t>
      </w:r>
      <w:r w:rsidR="00D74AD7" w:rsidRPr="00D74AD7">
        <w:t xml:space="preserve"> accepts website links to photographs and/or digital media of </w:t>
      </w:r>
      <w:r w:rsidR="00D74AD7" w:rsidRPr="00D74AD7">
        <w:rPr>
          <w:b/>
          <w:bCs/>
        </w:rPr>
        <w:t>G</w:t>
      </w:r>
      <w:r w:rsidRPr="00257D44">
        <w:rPr>
          <w:b/>
          <w:bCs/>
        </w:rPr>
        <w:t>RANTEE</w:t>
      </w:r>
      <w:r>
        <w:t xml:space="preserve">’s </w:t>
      </w:r>
      <w:r w:rsidR="00D74AD7" w:rsidRPr="00D74AD7">
        <w:t xml:space="preserve">activities and projects. We urge you to create space on </w:t>
      </w:r>
      <w:r w:rsidR="00F17E3F" w:rsidRPr="00F17E3F">
        <w:rPr>
          <w:b/>
          <w:bCs/>
        </w:rPr>
        <w:t>GRANTEE</w:t>
      </w:r>
      <w:r w:rsidR="00F17E3F">
        <w:t>’s</w:t>
      </w:r>
      <w:r w:rsidR="00D74AD7" w:rsidRPr="00D74AD7">
        <w:t xml:space="preserve"> website for said images </w:t>
      </w:r>
      <w:proofErr w:type="gramStart"/>
      <w:r w:rsidR="00D74AD7" w:rsidRPr="00D74AD7">
        <w:t>in order to</w:t>
      </w:r>
      <w:proofErr w:type="gramEnd"/>
      <w:r w:rsidR="00D74AD7" w:rsidRPr="00D74AD7">
        <w:t xml:space="preserve"> leverage these efforts as marketing and promotional tools. However, </w:t>
      </w:r>
      <w:r w:rsidR="003272F5">
        <w:t>Arts Midwest</w:t>
      </w:r>
      <w:r w:rsidR="00D74AD7" w:rsidRPr="00D74AD7">
        <w:t xml:space="preserve"> recognizes this may not be an option for </w:t>
      </w:r>
      <w:proofErr w:type="gramStart"/>
      <w:r w:rsidR="00D74AD7" w:rsidRPr="00D74AD7">
        <w:t xml:space="preserve">a number </w:t>
      </w:r>
      <w:r w:rsidR="00D74AD7" w:rsidRPr="00D74AD7">
        <w:lastRenderedPageBreak/>
        <w:t>of</w:t>
      </w:r>
      <w:proofErr w:type="gramEnd"/>
      <w:r w:rsidR="00D74AD7" w:rsidRPr="00D74AD7">
        <w:t xml:space="preserve"> reasons so the use of commonly accessed, user-friendly, internet interfaces such as YouTube, Vimeo, or Flickr links are reliable and relatively inexpensive alternatives. </w:t>
      </w:r>
      <w:r w:rsidR="00D74AD7" w:rsidRPr="00D74AD7">
        <w:rPr>
          <w:b/>
          <w:bCs/>
        </w:rPr>
        <w:t>G</w:t>
      </w:r>
      <w:r w:rsidR="003272F5" w:rsidRPr="003272F5">
        <w:rPr>
          <w:b/>
          <w:bCs/>
        </w:rPr>
        <w:t>RANTEE</w:t>
      </w:r>
      <w:r w:rsidR="00D74AD7" w:rsidRPr="00D74AD7">
        <w:t xml:space="preserve"> must maintain these links for the duration of the period of support and include website addresses/links in the final report. </w:t>
      </w:r>
    </w:p>
    <w:p w14:paraId="6F3563B4" w14:textId="77777777" w:rsidR="00D74AD7" w:rsidRPr="00D74AD7" w:rsidRDefault="00D74AD7" w:rsidP="003272F5">
      <w:pPr>
        <w:pStyle w:val="Heading2"/>
      </w:pPr>
      <w:r w:rsidRPr="00D74AD7">
        <w:t>Captions</w:t>
      </w:r>
    </w:p>
    <w:p w14:paraId="6E3EDC5C" w14:textId="1CD53C6D" w:rsidR="00D74AD7" w:rsidRPr="00D74AD7" w:rsidRDefault="003272F5" w:rsidP="00D74AD7">
      <w:r>
        <w:t>Arts Midwest</w:t>
      </w:r>
      <w:r w:rsidR="00D74AD7" w:rsidRPr="00D74AD7">
        <w:t xml:space="preserve"> suggests the following caption information be noted in conjunction with photographs and digital media:  Grantee name, city, state, date, title of activity or project, description of activity or project, name(s) of who is in the photograph or video, and the name of the photographer or videographer.</w:t>
      </w:r>
    </w:p>
    <w:p w14:paraId="7C98ABE1" w14:textId="77777777" w:rsidR="00D74AD7" w:rsidRPr="00D74AD7" w:rsidRDefault="00D74AD7" w:rsidP="003272F5">
      <w:pPr>
        <w:pStyle w:val="Heading2"/>
      </w:pPr>
      <w:r w:rsidRPr="00D74AD7">
        <w:t>Tips</w:t>
      </w:r>
    </w:p>
    <w:p w14:paraId="0806DDB0" w14:textId="77777777" w:rsidR="00D74AD7" w:rsidRPr="00D74AD7" w:rsidRDefault="00D74AD7" w:rsidP="00B136D5">
      <w:pPr>
        <w:numPr>
          <w:ilvl w:val="0"/>
          <w:numId w:val="5"/>
        </w:numPr>
      </w:pPr>
      <w:r w:rsidRPr="00D74AD7">
        <w:t xml:space="preserve">Be sure to confirm with the artist/ensemble beforehand that the taking of photographs and video are allowed. They may have a preference regarding when or where or what type of photographs are shot. They may also request a limit on the duration of filming or ask for approval of the </w:t>
      </w:r>
      <w:proofErr w:type="gramStart"/>
      <w:r w:rsidRPr="00D74AD7">
        <w:t>end product</w:t>
      </w:r>
      <w:proofErr w:type="gramEnd"/>
      <w:r w:rsidRPr="00D74AD7">
        <w:t xml:space="preserve"> prior to being uploaded to the internet. Such details are often noted in the artist/ensemble contract.</w:t>
      </w:r>
    </w:p>
    <w:p w14:paraId="0A7361A9" w14:textId="77777777" w:rsidR="00D74AD7" w:rsidRPr="00D74AD7" w:rsidRDefault="00D74AD7" w:rsidP="00B136D5">
      <w:pPr>
        <w:numPr>
          <w:ilvl w:val="0"/>
          <w:numId w:val="5"/>
        </w:numPr>
      </w:pPr>
      <w:r w:rsidRPr="00D74AD7">
        <w:t xml:space="preserve">If children are included in the picture, </w:t>
      </w:r>
      <w:proofErr w:type="gramStart"/>
      <w:r w:rsidRPr="00D74AD7">
        <w:t>obtain</w:t>
      </w:r>
      <w:proofErr w:type="gramEnd"/>
      <w:r w:rsidRPr="00D74AD7">
        <w:t xml:space="preserve"> or confirm consent from the parent and/or legal guardian to use the child’s image.</w:t>
      </w:r>
    </w:p>
    <w:p w14:paraId="07765721" w14:textId="77777777" w:rsidR="00D74AD7" w:rsidRPr="00D74AD7" w:rsidRDefault="00D74AD7" w:rsidP="00B136D5">
      <w:pPr>
        <w:numPr>
          <w:ilvl w:val="0"/>
          <w:numId w:val="5"/>
        </w:numPr>
      </w:pPr>
      <w:r w:rsidRPr="00D74AD7">
        <w:t>The most interesting photos are those in which the artist has direct interaction with their audience and/or students. Close-up shots of actively engaged people are highly recommended for more effective promotional and marketing purposes. </w:t>
      </w:r>
    </w:p>
    <w:p w14:paraId="19B1EA9E" w14:textId="77777777" w:rsidR="00D74AD7" w:rsidRPr="00BE1EEE" w:rsidRDefault="00D74AD7" w:rsidP="00BE1EEE"/>
    <w:p w14:paraId="11DBE21E" w14:textId="63E74E81" w:rsidR="005A099A" w:rsidRDefault="005A099A" w:rsidP="005A099A"/>
    <w:p w14:paraId="3BBB93B0" w14:textId="261DA533" w:rsidR="00BE1EEE" w:rsidRDefault="00BE1EEE" w:rsidP="005A099A"/>
    <w:p w14:paraId="5A575C55" w14:textId="647E1BAB" w:rsidR="00BE1EEE" w:rsidRDefault="00BE1EEE" w:rsidP="005A099A"/>
    <w:p w14:paraId="54F85373" w14:textId="55A644EF" w:rsidR="00BE1EEE" w:rsidRDefault="00BE1EEE" w:rsidP="005A099A"/>
    <w:p w14:paraId="66AF5CB7" w14:textId="7084B4CA" w:rsidR="00BE1EEE" w:rsidRDefault="00BE1EEE" w:rsidP="005A099A"/>
    <w:p w14:paraId="2E18A132" w14:textId="01ECBFBA" w:rsidR="00BE1EEE" w:rsidRDefault="00BE1EEE" w:rsidP="005A099A"/>
    <w:p w14:paraId="7283FDC3" w14:textId="4CAB0EB6" w:rsidR="00BE1EEE" w:rsidRDefault="00BE1EEE" w:rsidP="005A099A"/>
    <w:p w14:paraId="59604A09" w14:textId="5E052704" w:rsidR="00BE1EEE" w:rsidRDefault="00BE1EEE" w:rsidP="005A099A"/>
    <w:p w14:paraId="06B6A5F0" w14:textId="2808A7BA" w:rsidR="00BE1EEE" w:rsidRDefault="00BE1EEE" w:rsidP="005A099A"/>
    <w:p w14:paraId="6F17659B" w14:textId="6FA1DFBF" w:rsidR="00BE1EEE" w:rsidRDefault="00BE1EEE" w:rsidP="005A099A"/>
    <w:p w14:paraId="301186B8" w14:textId="2B69FCB7" w:rsidR="00BE1EEE" w:rsidRDefault="00BE1EEE" w:rsidP="005A099A"/>
    <w:p w14:paraId="68CD5E6E" w14:textId="783CC71E" w:rsidR="00857A4B" w:rsidRDefault="00857A4B" w:rsidP="00857A4B">
      <w:pPr>
        <w:pStyle w:val="Title"/>
        <w:rPr>
          <w:sz w:val="48"/>
          <w:szCs w:val="48"/>
        </w:rPr>
      </w:pPr>
      <w:r>
        <w:rPr>
          <w:sz w:val="48"/>
          <w:szCs w:val="48"/>
        </w:rPr>
        <w:lastRenderedPageBreak/>
        <w:t>Attachment C: Changes or cancellation requirements</w:t>
      </w:r>
    </w:p>
    <w:p w14:paraId="4EAFC275" w14:textId="5D1137A6" w:rsidR="00857A4B" w:rsidRDefault="00857A4B" w:rsidP="00857A4B"/>
    <w:p w14:paraId="2836931E" w14:textId="77777777" w:rsidR="000B3B0B" w:rsidRPr="000B3B0B" w:rsidRDefault="000B3B0B" w:rsidP="000B3B0B">
      <w:r w:rsidRPr="000B3B0B">
        <w:t>Grantees are required to carry out a project consistent with the project approved for funding.</w:t>
      </w:r>
    </w:p>
    <w:p w14:paraId="50B6C0DD" w14:textId="4464366D" w:rsidR="000B3B0B" w:rsidRPr="000B3B0B" w:rsidRDefault="000B3B0B" w:rsidP="000B3B0B">
      <w:r w:rsidRPr="000B3B0B">
        <w:t xml:space="preserve">Any significant changes to the project’s activities, timeline, </w:t>
      </w:r>
      <w:proofErr w:type="gramStart"/>
      <w:r w:rsidRPr="000B3B0B">
        <w:t>budget</w:t>
      </w:r>
      <w:proofErr w:type="gramEnd"/>
      <w:r w:rsidRPr="000B3B0B">
        <w:t xml:space="preserve"> or personnel must be approved no less than 30 days in advance of the first public activity. Please contact </w:t>
      </w:r>
      <w:r>
        <w:t>Arts Midwest</w:t>
      </w:r>
      <w:r w:rsidRPr="000B3B0B">
        <w:t xml:space="preserve"> staff for more information. </w:t>
      </w:r>
    </w:p>
    <w:p w14:paraId="0E11BC66" w14:textId="77777777" w:rsidR="000B3B0B" w:rsidRPr="000B3B0B" w:rsidRDefault="000B3B0B" w:rsidP="000B3B0B">
      <w:r w:rsidRPr="000B3B0B">
        <w:rPr>
          <w:b/>
          <w:bCs/>
        </w:rPr>
        <w:t>Notification should include: </w:t>
      </w:r>
    </w:p>
    <w:p w14:paraId="59754DED" w14:textId="5F8A208C" w:rsidR="000B3B0B" w:rsidRPr="000B3B0B" w:rsidRDefault="000B3B0B" w:rsidP="000B3B0B">
      <w:pPr>
        <w:pStyle w:val="ListParagraph"/>
      </w:pPr>
      <w:r w:rsidRPr="000B3B0B">
        <w:t xml:space="preserve">The </w:t>
      </w:r>
      <w:r>
        <w:t>Case</w:t>
      </w:r>
      <w:r w:rsidRPr="000B3B0B">
        <w:t xml:space="preserve"> number assigned by </w:t>
      </w:r>
      <w:r>
        <w:t xml:space="preserve">Arts </w:t>
      </w:r>
      <w:proofErr w:type="gramStart"/>
      <w:r>
        <w:t>Midwest</w:t>
      </w:r>
      <w:r w:rsidRPr="000B3B0B">
        <w:t>;</w:t>
      </w:r>
      <w:proofErr w:type="gramEnd"/>
    </w:p>
    <w:p w14:paraId="043B51C5" w14:textId="77777777" w:rsidR="000B3B0B" w:rsidRPr="000B3B0B" w:rsidRDefault="000B3B0B" w:rsidP="000B3B0B">
      <w:pPr>
        <w:pStyle w:val="ListParagraph"/>
      </w:pPr>
      <w:r w:rsidRPr="000B3B0B">
        <w:t>The specific change(s) requested (for types of amendments, see below</w:t>
      </w:r>
      <w:proofErr w:type="gramStart"/>
      <w:r w:rsidRPr="000B3B0B">
        <w:t>);</w:t>
      </w:r>
      <w:proofErr w:type="gramEnd"/>
    </w:p>
    <w:p w14:paraId="72BCAFC8" w14:textId="77777777" w:rsidR="000B3B0B" w:rsidRPr="000B3B0B" w:rsidRDefault="000B3B0B" w:rsidP="000B3B0B">
      <w:pPr>
        <w:pStyle w:val="ListParagraph"/>
      </w:pPr>
      <w:r w:rsidRPr="000B3B0B">
        <w:t>Justification for the change(s</w:t>
      </w:r>
      <w:proofErr w:type="gramStart"/>
      <w:r w:rsidRPr="000B3B0B">
        <w:t>);</w:t>
      </w:r>
      <w:proofErr w:type="gramEnd"/>
    </w:p>
    <w:p w14:paraId="4BB074DB" w14:textId="77777777" w:rsidR="000B3B0B" w:rsidRPr="000B3B0B" w:rsidRDefault="000B3B0B" w:rsidP="000B3B0B">
      <w:pPr>
        <w:pStyle w:val="ListParagraph"/>
      </w:pPr>
      <w:r w:rsidRPr="000B3B0B">
        <w:t xml:space="preserve">A revised project budget, if </w:t>
      </w:r>
      <w:proofErr w:type="gramStart"/>
      <w:r w:rsidRPr="000B3B0B">
        <w:t>applicable;</w:t>
      </w:r>
      <w:proofErr w:type="gramEnd"/>
    </w:p>
    <w:p w14:paraId="4B7FD04C" w14:textId="77777777" w:rsidR="000B3B0B" w:rsidRPr="000B3B0B" w:rsidRDefault="000B3B0B" w:rsidP="000B3B0B">
      <w:pPr>
        <w:pStyle w:val="ListParagraph"/>
      </w:pPr>
      <w:r w:rsidRPr="000B3B0B">
        <w:t>Grantee contact information, including a phone number, fax number and e-mail address; and</w:t>
      </w:r>
      <w:r w:rsidRPr="000B3B0B">
        <w:rPr>
          <w:i/>
          <w:iCs/>
        </w:rPr>
        <w:t> </w:t>
      </w:r>
    </w:p>
    <w:p w14:paraId="0166CC2E" w14:textId="77777777" w:rsidR="000B3B0B" w:rsidRPr="000B3B0B" w:rsidRDefault="000B3B0B" w:rsidP="000B3B0B">
      <w:pPr>
        <w:pStyle w:val="ListParagraph"/>
      </w:pPr>
      <w:r w:rsidRPr="000B3B0B">
        <w:t>The signature of a current authorizing official.</w:t>
      </w:r>
      <w:r w:rsidRPr="000B3B0B">
        <w:rPr>
          <w:b/>
          <w:bCs/>
        </w:rPr>
        <w:t> </w:t>
      </w:r>
    </w:p>
    <w:p w14:paraId="5FB3A8A5" w14:textId="15E0C734" w:rsidR="000B3B0B" w:rsidRPr="000B3B0B" w:rsidRDefault="00664D62" w:rsidP="000B3B0B">
      <w:r>
        <w:t>Arts Midwest</w:t>
      </w:r>
      <w:r w:rsidR="000B3B0B" w:rsidRPr="000B3B0B">
        <w:t xml:space="preserve"> reserves the right to request additional information including, but not limited to an update on specific project activities or an itemized list of actual expenditures to date. </w:t>
      </w:r>
    </w:p>
    <w:p w14:paraId="0A59BB08" w14:textId="293075F7" w:rsidR="000B3B0B" w:rsidRPr="000B3B0B" w:rsidRDefault="000B3B0B" w:rsidP="000B3B0B">
      <w:r w:rsidRPr="000B3B0B">
        <w:t xml:space="preserve">Amendment requests are considered on a case-by-case basis; approval is not guaranteed. Until written approval is received from </w:t>
      </w:r>
      <w:r w:rsidR="008A28BE">
        <w:t>Arts Midwest</w:t>
      </w:r>
      <w:r w:rsidRPr="000B3B0B">
        <w:t>, grantees may only incur costs consistent with the terms and conditions of the award in effect at the time of application. Requests submitted after the fact will not be approved.</w:t>
      </w:r>
    </w:p>
    <w:p w14:paraId="7600E8FF" w14:textId="77777777" w:rsidR="008A28BE" w:rsidRDefault="000B3B0B" w:rsidP="008A28BE">
      <w:pPr>
        <w:pStyle w:val="Heading3"/>
      </w:pPr>
      <w:r w:rsidRPr="000B3B0B">
        <w:t xml:space="preserve">Period of Support Extensions (Time Amendments) </w:t>
      </w:r>
    </w:p>
    <w:p w14:paraId="2F68CEDD" w14:textId="08E28B26" w:rsidR="000B3B0B" w:rsidRPr="000B3B0B" w:rsidRDefault="000B3B0B" w:rsidP="000B3B0B">
      <w:r w:rsidRPr="000B3B0B">
        <w:t>All project activities and the commitment of project funds must take place within the period of support set out in the award document. As soon as a grantee becomes aware that the project cannot be completed on schedule, the grantee must request a time amendment. Requests submitted after the current end date of the awarded project will not be approved. </w:t>
      </w:r>
    </w:p>
    <w:p w14:paraId="021D0099" w14:textId="7A27ECCE" w:rsidR="008A28BE" w:rsidRDefault="000B3B0B" w:rsidP="008A28BE">
      <w:pPr>
        <w:pStyle w:val="Heading3"/>
      </w:pPr>
      <w:r w:rsidRPr="000B3B0B">
        <w:t>Liquidation of Obligations</w:t>
      </w:r>
    </w:p>
    <w:p w14:paraId="62D4CD86" w14:textId="6F2A7C91" w:rsidR="000B3B0B" w:rsidRPr="000B3B0B" w:rsidRDefault="000B3B0B" w:rsidP="000B3B0B">
      <w:r w:rsidRPr="000B3B0B">
        <w:t xml:space="preserve">The grantee is also responsible for ensuring that all obligations incurred under an award are liquidated (paid) within 30 days of the end of the period of support to coincide with the submission of the </w:t>
      </w:r>
      <w:r w:rsidR="008A28BE">
        <w:t>f</w:t>
      </w:r>
      <w:r w:rsidRPr="000B3B0B">
        <w:t xml:space="preserve">inal </w:t>
      </w:r>
      <w:r w:rsidR="008A28BE">
        <w:t>r</w:t>
      </w:r>
      <w:r w:rsidRPr="000B3B0B">
        <w:t>eport. If all obligations cannot be liquidated within the 30 days, a time amendment must be requested. </w:t>
      </w:r>
    </w:p>
    <w:p w14:paraId="477DA100" w14:textId="2D9F69DC" w:rsidR="008A28BE" w:rsidRDefault="000B3B0B" w:rsidP="008A28BE">
      <w:pPr>
        <w:pStyle w:val="Heading3"/>
      </w:pPr>
      <w:r w:rsidRPr="000B3B0B">
        <w:lastRenderedPageBreak/>
        <w:t xml:space="preserve">Changes in Project Scope </w:t>
      </w:r>
    </w:p>
    <w:p w14:paraId="18DD7456" w14:textId="6B9EDC1D" w:rsidR="000B3B0B" w:rsidRPr="000B3B0B" w:rsidRDefault="000B3B0B" w:rsidP="000B3B0B">
      <w:r w:rsidRPr="000B3B0B">
        <w:t xml:space="preserve">Project activities must be consistent (i.e., in the same spirit) with those approved for funding by </w:t>
      </w:r>
      <w:r w:rsidR="008A28BE">
        <w:t>Arts Midwest</w:t>
      </w:r>
      <w:r w:rsidRPr="000B3B0B">
        <w:t xml:space="preserve">. Contact </w:t>
      </w:r>
      <w:r w:rsidR="008A28BE">
        <w:t>Arts Midwest</w:t>
      </w:r>
      <w:r w:rsidRPr="000B3B0B">
        <w:t xml:space="preserve"> immediately if changes are necessary. </w:t>
      </w:r>
    </w:p>
    <w:p w14:paraId="6BEFA38C" w14:textId="1D59B246" w:rsidR="008A28BE" w:rsidRDefault="000B3B0B" w:rsidP="008A28BE">
      <w:pPr>
        <w:pStyle w:val="Heading3"/>
      </w:pPr>
      <w:r w:rsidRPr="000B3B0B">
        <w:t>Change in Artists</w:t>
      </w:r>
    </w:p>
    <w:p w14:paraId="02C4B4E1" w14:textId="486F2BC9" w:rsidR="000B3B0B" w:rsidRPr="000B3B0B" w:rsidRDefault="000B3B0B" w:rsidP="000B3B0B">
      <w:r w:rsidRPr="000B3B0B">
        <w:t>If changes in artists or arts organizations identified in the application or proposal are necessary, the grantee must request an amendment. The amendment must include a short biography or description of the new artists or arts organizations involved. Requests submitted after the fact will not be approved. Prior approval is waived for changes in other key persons (e.g., executive or project directors) unless the award letter specifies otherwise. </w:t>
      </w:r>
    </w:p>
    <w:p w14:paraId="7622817C" w14:textId="24CE6391" w:rsidR="008A28BE" w:rsidRPr="00CC6CBB" w:rsidRDefault="000B3B0B" w:rsidP="00CC6CBB">
      <w:pPr>
        <w:pStyle w:val="Heading3"/>
      </w:pPr>
      <w:r w:rsidRPr="000B3B0B">
        <w:t xml:space="preserve">Budget Revisions </w:t>
      </w:r>
    </w:p>
    <w:p w14:paraId="4F5BC09A" w14:textId="1518DEA8" w:rsidR="000B3B0B" w:rsidRPr="000B3B0B" w:rsidRDefault="000B3B0B" w:rsidP="000B3B0B">
      <w:r w:rsidRPr="000B3B0B">
        <w:t>All costs must be incurred within the period of support specified in the award document or an approved amendment is required. The budget cannot include overlapping costs (e.g., share any costs) with any other Federal award. </w:t>
      </w:r>
    </w:p>
    <w:p w14:paraId="0DF8BBE0" w14:textId="62ACBB80" w:rsidR="000B3B0B" w:rsidRPr="000B3B0B" w:rsidRDefault="000B3B0B" w:rsidP="000B3B0B">
      <w:r w:rsidRPr="000B3B0B">
        <w:t xml:space="preserve">These minor changes in the project budget </w:t>
      </w:r>
      <w:r w:rsidRPr="000B3B0B">
        <w:rPr>
          <w:b/>
          <w:bCs/>
          <w:u w:val="single"/>
        </w:rPr>
        <w:t>do not</w:t>
      </w:r>
      <w:r w:rsidRPr="000B3B0B">
        <w:t xml:space="preserve"> require written approval from </w:t>
      </w:r>
      <w:r w:rsidR="00CC6CBB">
        <w:t>Arts Midwest</w:t>
      </w:r>
      <w:r w:rsidRPr="000B3B0B">
        <w:t>: </w:t>
      </w:r>
    </w:p>
    <w:p w14:paraId="1A4C4862" w14:textId="77777777" w:rsidR="000B3B0B" w:rsidRPr="000B3B0B" w:rsidRDefault="000B3B0B" w:rsidP="00B136D5">
      <w:pPr>
        <w:numPr>
          <w:ilvl w:val="0"/>
          <w:numId w:val="6"/>
        </w:numPr>
      </w:pPr>
      <w:r w:rsidRPr="000B3B0B">
        <w:t>transfers among direct cost line items; and/or</w:t>
      </w:r>
    </w:p>
    <w:p w14:paraId="7B81A06E" w14:textId="77777777" w:rsidR="000B3B0B" w:rsidRPr="000B3B0B" w:rsidRDefault="000B3B0B" w:rsidP="00B136D5">
      <w:pPr>
        <w:numPr>
          <w:ilvl w:val="0"/>
          <w:numId w:val="6"/>
        </w:numPr>
      </w:pPr>
      <w:r w:rsidRPr="000B3B0B">
        <w:t>elimination or addition of an allowable project cost that does not affect the scope of the award. </w:t>
      </w:r>
    </w:p>
    <w:p w14:paraId="36F48B15" w14:textId="2359CD24" w:rsidR="000B3B0B" w:rsidRPr="000B3B0B" w:rsidRDefault="000B3B0B" w:rsidP="000B3B0B">
      <w:r w:rsidRPr="000B3B0B">
        <w:t xml:space="preserve">These significant changes in the project budget </w:t>
      </w:r>
      <w:r w:rsidRPr="000B3B0B">
        <w:rPr>
          <w:b/>
          <w:bCs/>
          <w:u w:val="single"/>
        </w:rPr>
        <w:t>do</w:t>
      </w:r>
      <w:r w:rsidRPr="000B3B0B">
        <w:t xml:space="preserve"> require prior written approval from </w:t>
      </w:r>
      <w:r w:rsidR="00CC6CBB">
        <w:t>Arts Midwest</w:t>
      </w:r>
      <w:r w:rsidRPr="000B3B0B">
        <w:t>. </w:t>
      </w:r>
    </w:p>
    <w:p w14:paraId="5E88667D" w14:textId="21147B90" w:rsidR="000B3B0B" w:rsidRPr="000B3B0B" w:rsidRDefault="000B3B0B" w:rsidP="00B136D5">
      <w:pPr>
        <w:numPr>
          <w:ilvl w:val="0"/>
          <w:numId w:val="7"/>
        </w:numPr>
      </w:pPr>
      <w:r w:rsidRPr="000B3B0B">
        <w:t xml:space="preserve">budget changes due to a change in the scope of the </w:t>
      </w:r>
      <w:r w:rsidR="00CC6CBB">
        <w:t>Arts Midwest</w:t>
      </w:r>
      <w:r w:rsidRPr="000B3B0B">
        <w:t>-supported project; and/or </w:t>
      </w:r>
    </w:p>
    <w:p w14:paraId="31D0BCA7" w14:textId="77777777" w:rsidR="000B3B0B" w:rsidRPr="000B3B0B" w:rsidRDefault="000B3B0B" w:rsidP="00B136D5">
      <w:pPr>
        <w:numPr>
          <w:ilvl w:val="0"/>
          <w:numId w:val="7"/>
        </w:numPr>
      </w:pPr>
      <w:r w:rsidRPr="000B3B0B">
        <w:t>adding permanent equipment, foreign travel, or indirect costs. </w:t>
      </w:r>
    </w:p>
    <w:p w14:paraId="6B684567" w14:textId="46C89B00" w:rsidR="00CC6CBB" w:rsidRDefault="000B3B0B" w:rsidP="00CC6CBB">
      <w:pPr>
        <w:pStyle w:val="Heading3"/>
      </w:pPr>
      <w:r w:rsidRPr="000B3B0B">
        <w:t xml:space="preserve">Matching </w:t>
      </w:r>
    </w:p>
    <w:p w14:paraId="2FE21415" w14:textId="636F855B" w:rsidR="000B3B0B" w:rsidRPr="000B3B0B" w:rsidRDefault="00CC6CBB" w:rsidP="000B3B0B">
      <w:r>
        <w:t>Arts Midwest</w:t>
      </w:r>
      <w:r w:rsidR="000B3B0B" w:rsidRPr="000B3B0B">
        <w:t xml:space="preserve"> cannot waive minimum matching requirements except under the most unusual circumstances. Such requests must be accompanied by a new budget that reflects the revised commitment to the project.</w:t>
      </w:r>
    </w:p>
    <w:p w14:paraId="0A7ACBAD" w14:textId="23E46F36" w:rsidR="00BE1EEE" w:rsidRDefault="00BE1EEE" w:rsidP="005A099A"/>
    <w:p w14:paraId="0D8B2969" w14:textId="2EC05CDD" w:rsidR="00BE1EEE" w:rsidRDefault="00BE1EEE" w:rsidP="005A099A"/>
    <w:p w14:paraId="24B75B36" w14:textId="2932E0B0" w:rsidR="00BE1EEE" w:rsidRDefault="00BE1EEE" w:rsidP="005A099A"/>
    <w:p w14:paraId="1FE29103" w14:textId="51E1E818" w:rsidR="00BE1EEE" w:rsidRDefault="00BE1EEE" w:rsidP="005A099A"/>
    <w:p w14:paraId="6291CFE9" w14:textId="0EE20CC4" w:rsidR="00BE1EEE" w:rsidRDefault="00BE1EEE" w:rsidP="005A099A"/>
    <w:p w14:paraId="11107CFE" w14:textId="4097E22F" w:rsidR="00BE1EEE" w:rsidRDefault="00BE1EEE" w:rsidP="005A099A"/>
    <w:p w14:paraId="489295F7" w14:textId="520C6E5B" w:rsidR="005A099A" w:rsidRDefault="00CC6CBB" w:rsidP="00CC6CBB">
      <w:pPr>
        <w:pStyle w:val="Title"/>
      </w:pPr>
      <w:r>
        <w:rPr>
          <w:sz w:val="48"/>
          <w:szCs w:val="48"/>
        </w:rPr>
        <w:lastRenderedPageBreak/>
        <w:t>Attachment D: Crediting Requirements</w:t>
      </w:r>
      <w:r w:rsidR="005A099A">
        <w:t xml:space="preserve"> </w:t>
      </w:r>
    </w:p>
    <w:p w14:paraId="3A9000AB" w14:textId="77777777" w:rsidR="005A099A" w:rsidRDefault="005A099A" w:rsidP="00B3728C">
      <w:pPr>
        <w:pStyle w:val="Heading1"/>
        <w:keepNext/>
        <w:spacing w:before="120" w:after="120" w:line="240" w:lineRule="auto"/>
        <w:contextualSpacing/>
      </w:pPr>
      <w:r>
        <w:t>Introduction</w:t>
      </w:r>
    </w:p>
    <w:p w14:paraId="7876CC71" w14:textId="68E69C35" w:rsidR="005A099A" w:rsidRDefault="005A099A" w:rsidP="00D041BD">
      <w:r>
        <w:t xml:space="preserve">The National Endowment for the Arts seeks to achieve unified visual branding for this national program through the proper application of the logo </w:t>
      </w:r>
      <w:r w:rsidRPr="009A3750">
        <w:t>and crediting language.</w:t>
      </w:r>
    </w:p>
    <w:p w14:paraId="64277039" w14:textId="160ECD95" w:rsidR="005A099A" w:rsidRDefault="005A099A" w:rsidP="00D041BD">
      <w:r>
        <w:t>Proper crediting is an essential part of your grant. The National Endowment for the Arts and Arts Midwest expect all participants to ensure proper crediting and visibility for the benefit of both your organization and this national program.</w:t>
      </w:r>
    </w:p>
    <w:p w14:paraId="72D8944A" w14:textId="7279DAC0" w:rsidR="005A099A" w:rsidRDefault="005A099A" w:rsidP="00D041BD">
      <w:r>
        <w:t>Please ensure your partners, contractors, marketing department, graphic designers, and other staff creating marketing materials for the NEA Big Read review, understand, and adhere to these requirements. The examples provided below are intended as an overview and not an exhaustive listing of print and digital opportunities available to your organization.</w:t>
      </w:r>
    </w:p>
    <w:p w14:paraId="79BDD370" w14:textId="77777777" w:rsidR="005A099A" w:rsidRDefault="005A099A" w:rsidP="00D041BD">
      <w:r>
        <w:t xml:space="preserve">We are happy to review your print or digital materials for proper crediting prior to production. Please email them to </w:t>
      </w:r>
      <w:hyperlink r:id="rId46" w:history="1">
        <w:r w:rsidRPr="00E33AA5">
          <w:rPr>
            <w:rStyle w:val="Hyperlink"/>
          </w:rPr>
          <w:t>neabigread@artsmidwest.org</w:t>
        </w:r>
      </w:hyperlink>
      <w:r>
        <w:t xml:space="preserve"> </w:t>
      </w:r>
    </w:p>
    <w:p w14:paraId="026579EF" w14:textId="77777777" w:rsidR="005A099A" w:rsidRDefault="005A099A" w:rsidP="005A099A">
      <w:pPr>
        <w:pStyle w:val="NoSpacing"/>
        <w:spacing w:after="40"/>
      </w:pPr>
    </w:p>
    <w:p w14:paraId="61908A31" w14:textId="77777777" w:rsidR="005A099A" w:rsidRDefault="005A099A" w:rsidP="00B3728C">
      <w:pPr>
        <w:pStyle w:val="Heading1"/>
        <w:keepNext/>
        <w:spacing w:before="120" w:after="120" w:line="240" w:lineRule="auto"/>
        <w:contextualSpacing/>
      </w:pPr>
      <w:r>
        <w:t>Requirements</w:t>
      </w:r>
    </w:p>
    <w:p w14:paraId="01126D45" w14:textId="77777777" w:rsidR="005A099A" w:rsidRPr="00DD54F3" w:rsidRDefault="005A099A" w:rsidP="005A099A">
      <w:r>
        <w:rPr>
          <w:rFonts w:ascii="Times New Roman" w:hAnsi="Times New Roman" w:cs="Times New Roman"/>
          <w:noProof/>
          <w:color w:val="2B579A"/>
          <w:shd w:val="clear" w:color="auto" w:fill="E6E6E6"/>
        </w:rPr>
        <w:drawing>
          <wp:anchor distT="0" distB="0" distL="114300" distR="114300" simplePos="0" relativeHeight="251658241" behindDoc="1" locked="0" layoutInCell="1" allowOverlap="1" wp14:anchorId="0D6DB42D" wp14:editId="44A5D5AC">
            <wp:simplePos x="0" y="0"/>
            <wp:positionH relativeFrom="column">
              <wp:posOffset>22860</wp:posOffset>
            </wp:positionH>
            <wp:positionV relativeFrom="paragraph">
              <wp:posOffset>1534160</wp:posOffset>
            </wp:positionV>
            <wp:extent cx="2868295" cy="1405890"/>
            <wp:effectExtent l="0" t="0" r="8255" b="3810"/>
            <wp:wrapThrough wrapText="bothSides">
              <wp:wrapPolygon edited="0">
                <wp:start x="0" y="0"/>
                <wp:lineTo x="0" y="21366"/>
                <wp:lineTo x="21519" y="21366"/>
                <wp:lineTo x="21519" y="0"/>
                <wp:lineTo x="0" y="0"/>
              </wp:wrapPolygon>
            </wp:wrapThrough>
            <wp:docPr id="26" name="Picture 2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ext&#10;&#10;Description automatically generated"/>
                    <pic:cNvPicPr>
                      <a:picLocks noChangeAspect="1" noChangeArrowheads="1"/>
                    </pic:cNvPicPr>
                  </pic:nvPicPr>
                  <pic:blipFill>
                    <a:blip r:embed="rId47" cstate="print">
                      <a:extLst>
                        <a:ext uri="{28A0092B-C50C-407E-A947-70E740481C1C}">
                          <a14:useLocalDpi xmlns:a14="http://schemas.microsoft.com/office/drawing/2010/main" val="0"/>
                        </a:ext>
                      </a:extLst>
                    </a:blip>
                    <a:stretch>
                      <a:fillRect/>
                    </a:stretch>
                  </pic:blipFill>
                  <pic:spPr bwMode="auto">
                    <a:xfrm>
                      <a:off x="0" y="0"/>
                      <a:ext cx="2868295" cy="1405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2B579A"/>
          <w:shd w:val="clear" w:color="auto" w:fill="E6E6E6"/>
        </w:rPr>
        <w:drawing>
          <wp:anchor distT="0" distB="0" distL="114300" distR="114300" simplePos="0" relativeHeight="251658240" behindDoc="1" locked="0" layoutInCell="1" allowOverlap="1" wp14:anchorId="29031196" wp14:editId="75C662C2">
            <wp:simplePos x="0" y="0"/>
            <wp:positionH relativeFrom="column">
              <wp:posOffset>23153</wp:posOffset>
            </wp:positionH>
            <wp:positionV relativeFrom="paragraph">
              <wp:posOffset>124460</wp:posOffset>
            </wp:positionV>
            <wp:extent cx="2868295" cy="1405890"/>
            <wp:effectExtent l="0" t="0" r="1905" b="3810"/>
            <wp:wrapThrough wrapText="bothSides">
              <wp:wrapPolygon edited="0">
                <wp:start x="0" y="0"/>
                <wp:lineTo x="0" y="21463"/>
                <wp:lineTo x="21519" y="21463"/>
                <wp:lineTo x="21519" y="0"/>
                <wp:lineTo x="0" y="0"/>
              </wp:wrapPolygon>
            </wp:wrapThrough>
            <wp:docPr id="25" name="Picture 2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ext&#10;&#10;Description automatically generated"/>
                    <pic:cNvPicPr>
                      <a:picLocks noChangeAspect="1" noChangeArrowheads="1"/>
                    </pic:cNvPicPr>
                  </pic:nvPicPr>
                  <pic:blipFill>
                    <a:blip r:embed="rId48" cstate="print">
                      <a:extLst>
                        <a:ext uri="{28A0092B-C50C-407E-A947-70E740481C1C}">
                          <a14:useLocalDpi xmlns:a14="http://schemas.microsoft.com/office/drawing/2010/main" val="0"/>
                        </a:ext>
                      </a:extLst>
                    </a:blip>
                    <a:stretch>
                      <a:fillRect/>
                    </a:stretch>
                  </pic:blipFill>
                  <pic:spPr bwMode="auto">
                    <a:xfrm>
                      <a:off x="0" y="0"/>
                      <a:ext cx="2868295" cy="1405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F6A005" w14:textId="77777777" w:rsidR="005A099A" w:rsidRDefault="005A099A" w:rsidP="005A099A">
      <w:pPr>
        <w:pStyle w:val="Heading2"/>
        <w:spacing w:before="0"/>
      </w:pPr>
      <w:r>
        <w:t xml:space="preserve">Logos </w:t>
      </w:r>
    </w:p>
    <w:p w14:paraId="2265C340" w14:textId="77777777" w:rsidR="005A099A" w:rsidRDefault="005A099A" w:rsidP="00D041BD">
      <w:r>
        <w:t>Your organization is required to include the official NEA Big Read logo in all materials (print and digital) related to your activities. Do not use any other “Big Read” logo found on the internet.</w:t>
      </w:r>
    </w:p>
    <w:p w14:paraId="35002E9D" w14:textId="77777777" w:rsidR="005A099A" w:rsidRDefault="005A099A" w:rsidP="00D041BD"/>
    <w:p w14:paraId="630917FF" w14:textId="77777777" w:rsidR="005A099A" w:rsidRDefault="005A099A" w:rsidP="00D041BD">
      <w:r>
        <w:t>The National Endowment for the Arts has provided two variants of the NEA Big Read logo for your use. Both variants have .jpg and .eps formats.</w:t>
      </w:r>
    </w:p>
    <w:p w14:paraId="6EEA7F1B" w14:textId="77777777" w:rsidR="005A099A" w:rsidRDefault="005A099A" w:rsidP="005A099A">
      <w:pPr>
        <w:pStyle w:val="NoSpacing"/>
        <w:snapToGrid w:val="0"/>
        <w:spacing w:after="40"/>
      </w:pPr>
    </w:p>
    <w:p w14:paraId="36530962" w14:textId="77777777" w:rsidR="00D041BD" w:rsidRDefault="00D041BD" w:rsidP="005A099A">
      <w:pPr>
        <w:pStyle w:val="NoSpacing"/>
        <w:snapToGrid w:val="0"/>
        <w:spacing w:after="40"/>
      </w:pPr>
    </w:p>
    <w:p w14:paraId="351B171C" w14:textId="372234DE" w:rsidR="005A099A" w:rsidRDefault="005A099A" w:rsidP="005A099A">
      <w:pPr>
        <w:pStyle w:val="NoSpacing"/>
        <w:snapToGrid w:val="0"/>
        <w:spacing w:after="40"/>
        <w:rPr>
          <w:rFonts w:ascii="Times New Roman" w:hAnsi="Times New Roman" w:cs="Times New Roman"/>
        </w:rPr>
      </w:pPr>
      <w:r>
        <w:t xml:space="preserve">To download the logos, visit </w:t>
      </w:r>
      <w:hyperlink r:id="rId49" w:history="1">
        <w:r w:rsidRPr="00E33AA5">
          <w:rPr>
            <w:rStyle w:val="Hyperlink"/>
            <w:rFonts w:ascii="Times New Roman" w:hAnsi="Times New Roman" w:cs="Times New Roman"/>
          </w:rPr>
          <w:t>https://www.artsmidwest.org/programs/neabigread/logo</w:t>
        </w:r>
      </w:hyperlink>
    </w:p>
    <w:p w14:paraId="6B526104" w14:textId="77777777" w:rsidR="005A099A" w:rsidRDefault="005A099A" w:rsidP="005A099A">
      <w:pPr>
        <w:pStyle w:val="Heading3"/>
      </w:pPr>
      <w:r>
        <w:t>Improper use of logo</w:t>
      </w:r>
    </w:p>
    <w:p w14:paraId="5260BA1B" w14:textId="77777777" w:rsidR="005A099A" w:rsidRDefault="005A099A" w:rsidP="00D041BD">
      <w:pPr>
        <w:pStyle w:val="ListParagraph"/>
      </w:pPr>
      <w:r>
        <w:t xml:space="preserve">Do not crop the logo. </w:t>
      </w:r>
    </w:p>
    <w:p w14:paraId="63D08E20" w14:textId="77777777" w:rsidR="005A099A" w:rsidRDefault="005A099A" w:rsidP="00D041BD">
      <w:pPr>
        <w:pStyle w:val="ListParagraph"/>
      </w:pPr>
      <w:r>
        <w:t xml:space="preserve">Do not separate elements of the logo to reorganize format or appearance. </w:t>
      </w:r>
    </w:p>
    <w:p w14:paraId="52E9462E" w14:textId="77777777" w:rsidR="005A099A" w:rsidRDefault="005A099A" w:rsidP="00D041BD">
      <w:pPr>
        <w:pStyle w:val="ListParagraph"/>
      </w:pPr>
      <w:r>
        <w:lastRenderedPageBreak/>
        <w:t xml:space="preserve">Do not rotate the logo. </w:t>
      </w:r>
    </w:p>
    <w:p w14:paraId="5A362368" w14:textId="77777777" w:rsidR="005A099A" w:rsidRDefault="005A099A" w:rsidP="00D041BD">
      <w:pPr>
        <w:pStyle w:val="ListParagraph"/>
      </w:pPr>
      <w:r>
        <w:t xml:space="preserve">Do not distort the logo horizontally or vertically. </w:t>
      </w:r>
    </w:p>
    <w:p w14:paraId="69F93EAC" w14:textId="77777777" w:rsidR="005A099A" w:rsidRDefault="005A099A" w:rsidP="00D041BD">
      <w:pPr>
        <w:pStyle w:val="ListParagraph"/>
      </w:pPr>
      <w:r>
        <w:t xml:space="preserve">Do not alter the colors without written permission from Arts Midwest. </w:t>
      </w:r>
    </w:p>
    <w:p w14:paraId="19E629EC" w14:textId="77777777" w:rsidR="005A099A" w:rsidRDefault="005A099A" w:rsidP="00D041BD">
      <w:pPr>
        <w:pStyle w:val="ListParagraph"/>
      </w:pPr>
      <w:r>
        <w:t>Do not alter the typography of the logo.</w:t>
      </w:r>
    </w:p>
    <w:p w14:paraId="2DE3099E" w14:textId="77777777" w:rsidR="005A099A" w:rsidRDefault="005A099A" w:rsidP="005A099A">
      <w:pPr>
        <w:pStyle w:val="Heading2"/>
      </w:pPr>
      <w:r>
        <w:t>Credit line</w:t>
      </w:r>
    </w:p>
    <w:p w14:paraId="3E54DCF4" w14:textId="1C3F302A" w:rsidR="005A099A" w:rsidRDefault="005A099A" w:rsidP="00D041BD">
      <w:r>
        <w:t xml:space="preserve">Along with the logos, your organization must include the </w:t>
      </w:r>
      <w:r w:rsidR="002152D2">
        <w:t xml:space="preserve">following </w:t>
      </w:r>
      <w:r>
        <w:t>credit line in 10-point font size or greater. Do not alter or abbreviate the credit line.</w:t>
      </w:r>
    </w:p>
    <w:p w14:paraId="186FBECC" w14:textId="7EF0F6F4" w:rsidR="00AE4F92" w:rsidRDefault="0050593D" w:rsidP="00AE4F92">
      <w:pPr>
        <w:pStyle w:val="Quote"/>
      </w:pPr>
      <w:r>
        <w:t>“</w:t>
      </w:r>
      <w:r w:rsidR="005A099A">
        <w:t>NEA Big Read is a program of the National Endowment for the Arts in partnership with Arts Midwest.</w:t>
      </w:r>
      <w:r>
        <w:t>”</w:t>
      </w:r>
    </w:p>
    <w:p w14:paraId="5D68423E" w14:textId="77777777" w:rsidR="00AE4F92" w:rsidRPr="00AE4F92" w:rsidRDefault="00AE4F92" w:rsidP="00AE4F92">
      <w:pPr>
        <w:pStyle w:val="Attribution"/>
      </w:pPr>
    </w:p>
    <w:p w14:paraId="07155B87" w14:textId="7ECC414B" w:rsidR="005A099A" w:rsidRDefault="0050593D" w:rsidP="00AE4F92">
      <w:pPr>
        <w:pStyle w:val="Quote"/>
      </w:pPr>
      <w:r>
        <w:t>“</w:t>
      </w:r>
      <w:r w:rsidR="005A099A" w:rsidRPr="00816845">
        <w:t xml:space="preserve">El </w:t>
      </w:r>
      <w:proofErr w:type="spellStart"/>
      <w:r w:rsidR="005A099A" w:rsidRPr="00816845">
        <w:t>proyecto</w:t>
      </w:r>
      <w:proofErr w:type="spellEnd"/>
      <w:r w:rsidR="005A099A" w:rsidRPr="00816845">
        <w:t xml:space="preserve"> NEA</w:t>
      </w:r>
      <w:r w:rsidR="005A099A">
        <w:t xml:space="preserve"> </w:t>
      </w:r>
      <w:r w:rsidR="005A099A" w:rsidRPr="00816845">
        <w:t xml:space="preserve">Big Read es </w:t>
      </w:r>
      <w:proofErr w:type="spellStart"/>
      <w:r w:rsidR="005A099A" w:rsidRPr="00816845">
        <w:t>una</w:t>
      </w:r>
      <w:proofErr w:type="spellEnd"/>
      <w:r w:rsidR="005A099A" w:rsidRPr="00816845">
        <w:t xml:space="preserve"> </w:t>
      </w:r>
      <w:proofErr w:type="spellStart"/>
      <w:r w:rsidR="005A099A" w:rsidRPr="00816845">
        <w:t>iniciativa</w:t>
      </w:r>
      <w:proofErr w:type="spellEnd"/>
      <w:r w:rsidR="005A099A" w:rsidRPr="00816845">
        <w:t xml:space="preserve"> del National Endowment for the Arts (</w:t>
      </w:r>
      <w:proofErr w:type="spellStart"/>
      <w:r w:rsidR="005A099A" w:rsidRPr="00816845">
        <w:t>el</w:t>
      </w:r>
      <w:proofErr w:type="spellEnd"/>
      <w:r w:rsidR="005A099A" w:rsidRPr="00816845">
        <w:t xml:space="preserve"> </w:t>
      </w:r>
      <w:proofErr w:type="spellStart"/>
      <w:r w:rsidR="005A099A" w:rsidRPr="00816845">
        <w:t>Fondo</w:t>
      </w:r>
      <w:proofErr w:type="spellEnd"/>
      <w:r w:rsidR="005A099A" w:rsidRPr="00816845">
        <w:t xml:space="preserve"> Nacional para las Artes de </w:t>
      </w:r>
      <w:proofErr w:type="spellStart"/>
      <w:r w:rsidR="005A099A" w:rsidRPr="00816845">
        <w:t>Estados</w:t>
      </w:r>
      <w:proofErr w:type="spellEnd"/>
      <w:r w:rsidR="005A099A" w:rsidRPr="00816845">
        <w:t xml:space="preserve"> Unidos) </w:t>
      </w:r>
      <w:proofErr w:type="spellStart"/>
      <w:r w:rsidR="005A099A" w:rsidRPr="00816845">
        <w:t>en</w:t>
      </w:r>
      <w:proofErr w:type="spellEnd"/>
      <w:r w:rsidR="005A099A" w:rsidRPr="00816845">
        <w:t xml:space="preserve"> </w:t>
      </w:r>
      <w:proofErr w:type="spellStart"/>
      <w:r w:rsidR="005A099A" w:rsidRPr="00816845">
        <w:t>cooperación</w:t>
      </w:r>
      <w:proofErr w:type="spellEnd"/>
      <w:r w:rsidR="005A099A" w:rsidRPr="00816845">
        <w:t xml:space="preserve"> con Arts Midwest</w:t>
      </w:r>
      <w:r w:rsidR="00AE4F92">
        <w:t>.</w:t>
      </w:r>
      <w:r>
        <w:t>”</w:t>
      </w:r>
    </w:p>
    <w:p w14:paraId="0D9F2142" w14:textId="77777777" w:rsidR="00AE4F92" w:rsidRPr="00AE4F92" w:rsidRDefault="00AE4F92" w:rsidP="00AE4F92">
      <w:pPr>
        <w:pStyle w:val="Attribution"/>
      </w:pPr>
    </w:p>
    <w:p w14:paraId="5964FCEB" w14:textId="77777777" w:rsidR="005A099A" w:rsidRDefault="005A099A" w:rsidP="00D041BD">
      <w:r>
        <w:t>Please use this English or Spanish credit line to give verbal recognition of the program prior to performances.</w:t>
      </w:r>
    </w:p>
    <w:p w14:paraId="1247AA07" w14:textId="77777777" w:rsidR="005A099A" w:rsidRDefault="005A099A" w:rsidP="005A099A">
      <w:pPr>
        <w:pStyle w:val="Heading3"/>
      </w:pPr>
      <w:r>
        <w:t>Placement of logo and credit line</w:t>
      </w:r>
    </w:p>
    <w:p w14:paraId="11729594" w14:textId="7A369EBF" w:rsidR="005A099A" w:rsidRDefault="005A099A" w:rsidP="00D041BD">
      <w:r>
        <w:t>Placement may vary, however should be positioned prominently for high visibility and distinct from other visual elements or other contributors.</w:t>
      </w:r>
    </w:p>
    <w:p w14:paraId="1C3C3DE2" w14:textId="4CA0365D" w:rsidR="005A099A" w:rsidRDefault="005A099A" w:rsidP="00D041BD">
      <w:r>
        <w:t>Include the logos and credit line in the following:</w:t>
      </w:r>
      <w:r w:rsidR="00D041BD">
        <w:t xml:space="preserve"> </w:t>
      </w:r>
      <w:r>
        <w:t>All printed materials and digital communications related to your NEA Big Read activities (e.g., postcards, brochures, posters, press releases, website events calendars, social media, marketing materials, announcements, and invitations.</w:t>
      </w:r>
    </w:p>
    <w:p w14:paraId="4E1ED926" w14:textId="77777777" w:rsidR="005A099A" w:rsidRDefault="005A099A" w:rsidP="00B3728C">
      <w:pPr>
        <w:pStyle w:val="Heading2"/>
      </w:pPr>
      <w:r>
        <w:t xml:space="preserve">Funders </w:t>
      </w:r>
      <w:r w:rsidRPr="00B3728C">
        <w:t>list</w:t>
      </w:r>
    </w:p>
    <w:p w14:paraId="107D5CAD" w14:textId="77777777" w:rsidR="005A099A" w:rsidRDefault="005A099A" w:rsidP="00D041BD">
      <w:r w:rsidRPr="003452F4">
        <w:t>When referring to this program on a f</w:t>
      </w:r>
      <w:r>
        <w:t>unders list, please credit it as “The National Endowment for the Arts Big Read program” and acknowledge support from the National Endowment for the Arts and Arts Midwest. The best way to credit funders is to use the credit line.</w:t>
      </w:r>
    </w:p>
    <w:p w14:paraId="34591278" w14:textId="77777777" w:rsidR="005A099A" w:rsidRDefault="005A099A" w:rsidP="005A099A">
      <w:pPr>
        <w:pStyle w:val="Heading2"/>
      </w:pPr>
      <w:r>
        <w:lastRenderedPageBreak/>
        <w:t>Program name</w:t>
      </w:r>
    </w:p>
    <w:p w14:paraId="58265338" w14:textId="77777777" w:rsidR="005A099A" w:rsidRDefault="005A099A" w:rsidP="00D041BD">
      <w:r>
        <w:t>You must name your program “NEA Big Read.” You may append the name of your community at the end (e.g., NEA Big Read – Minneapolis). Naming your program in this manner acknowledges the award from the National Endowment for the Arts and ties your award into the larger framework of the other NEA Big Read program around the nation.</w:t>
      </w:r>
    </w:p>
    <w:p w14:paraId="51536C13" w14:textId="77777777" w:rsidR="005A099A" w:rsidRDefault="005A099A" w:rsidP="005A099A">
      <w:pPr>
        <w:pStyle w:val="Heading2"/>
      </w:pPr>
      <w:r>
        <w:t>Basic description</w:t>
      </w:r>
    </w:p>
    <w:p w14:paraId="4C61BFB7" w14:textId="1A3DEA0E" w:rsidR="005A099A" w:rsidRDefault="005A099A" w:rsidP="00D041BD">
      <w:r>
        <w:t>The following paragraph represents the basic description of the program. This text may be used in all print and digital materials as space allows, including on your website.</w:t>
      </w:r>
    </w:p>
    <w:p w14:paraId="5D04C02C" w14:textId="2CC9FA13" w:rsidR="005A099A" w:rsidRPr="006708C8" w:rsidRDefault="005A099A" w:rsidP="00D041BD">
      <w:pPr>
        <w:rPr>
          <w:rFonts w:cs="Arial (Body CS)"/>
          <w:b/>
        </w:rPr>
      </w:pPr>
      <w:r w:rsidRPr="006708C8">
        <w:rPr>
          <w:rFonts w:cs="Arial (Body CS)"/>
          <w:b/>
        </w:rPr>
        <w:t xml:space="preserve">The National Endowment for the Arts Big Read is designed to broaden our understanding of our world, our communities, and ourselves through the joy of sharing a good book. [YOUR ORGANIZATION] is one of </w:t>
      </w:r>
      <w:r w:rsidR="00336EA1">
        <w:rPr>
          <w:rFonts w:cs="Arial (Body CS)"/>
          <w:b/>
        </w:rPr>
        <w:t>6</w:t>
      </w:r>
      <w:r w:rsidRPr="006708C8">
        <w:rPr>
          <w:rFonts w:cs="Arial (Body CS)"/>
          <w:b/>
        </w:rPr>
        <w:t>0+ nonprofit organizations to receive a grant to host an NEA Big Read project.</w:t>
      </w:r>
    </w:p>
    <w:p w14:paraId="1A4D3905" w14:textId="77777777" w:rsidR="005A099A" w:rsidRDefault="005A099A" w:rsidP="005A099A">
      <w:pPr>
        <w:pStyle w:val="Heading2"/>
      </w:pPr>
      <w:r>
        <w:t>Final Report</w:t>
      </w:r>
    </w:p>
    <w:p w14:paraId="1F9130E9" w14:textId="77777777" w:rsidR="005A099A" w:rsidRPr="001A2A8E" w:rsidRDefault="005A099A" w:rsidP="00D041BD">
      <w:pPr>
        <w:rPr>
          <w:b/>
        </w:rPr>
      </w:pPr>
      <w:r w:rsidRPr="001A2A8E">
        <w:t>You will be required to submit</w:t>
      </w:r>
      <w:r w:rsidRPr="008E0FBB">
        <w:rPr>
          <w:b/>
        </w:rPr>
        <w:t xml:space="preserve"> a minimum of </w:t>
      </w:r>
      <w:r>
        <w:rPr>
          <w:b/>
        </w:rPr>
        <w:t>two</w:t>
      </w:r>
      <w:r w:rsidRPr="008E0FBB">
        <w:rPr>
          <w:b/>
        </w:rPr>
        <w:t xml:space="preserve"> examples of your organization’s crediting</w:t>
      </w:r>
      <w:r w:rsidRPr="008E0FBB">
        <w:t xml:space="preserve"> </w:t>
      </w:r>
      <w:r>
        <w:t>as a component of the final report. Be sure to print your online crediting</w:t>
      </w:r>
      <w:r w:rsidRPr="001A2A8E">
        <w:t xml:space="preserve"> examples while the page(s) are still live, so you can include them.</w:t>
      </w:r>
    </w:p>
    <w:p w14:paraId="200E280C" w14:textId="77777777" w:rsidR="005A099A" w:rsidRDefault="005A099A" w:rsidP="005A099A"/>
    <w:p w14:paraId="5A23202F" w14:textId="77777777" w:rsidR="005A099A" w:rsidRDefault="005A099A" w:rsidP="00B3728C">
      <w:pPr>
        <w:pStyle w:val="Heading1"/>
        <w:keepNext/>
        <w:spacing w:before="120" w:after="120" w:line="240" w:lineRule="auto"/>
        <w:contextualSpacing/>
      </w:pPr>
      <w:r>
        <w:t>Social Media</w:t>
      </w:r>
    </w:p>
    <w:p w14:paraId="1096A463" w14:textId="61AA85C7" w:rsidR="005A099A" w:rsidRPr="00B3728C" w:rsidRDefault="005A099A" w:rsidP="00D041BD">
      <w:pPr>
        <w:rPr>
          <w:b/>
          <w:bCs/>
        </w:rPr>
      </w:pPr>
      <w:r>
        <w:t xml:space="preserve">Many participating organizations are posting on social media platforms and sharing images, videos, and stories about their programming. </w:t>
      </w:r>
      <w:proofErr w:type="gramStart"/>
      <w:r>
        <w:t>In order for</w:t>
      </w:r>
      <w:proofErr w:type="gramEnd"/>
      <w:r>
        <w:t xml:space="preserve"> us to track all that is happening and to hear and share your story from your organization’s perspective, we ask that you use the following hashtag</w:t>
      </w:r>
      <w:r w:rsidR="00B17A3B">
        <w:t>s</w:t>
      </w:r>
      <w:r>
        <w:t xml:space="preserve">: </w:t>
      </w:r>
      <w:r w:rsidRPr="002D3C0F">
        <w:rPr>
          <w:b/>
        </w:rPr>
        <w:t>#</w:t>
      </w:r>
      <w:r w:rsidR="00C64101">
        <w:rPr>
          <w:b/>
        </w:rPr>
        <w:t>NEABigRead</w:t>
      </w:r>
      <w:r w:rsidR="00B17A3B">
        <w:rPr>
          <w:b/>
        </w:rPr>
        <w:t>; #ArtsMidwest</w:t>
      </w:r>
      <w:r>
        <w:t xml:space="preserve">. </w:t>
      </w:r>
      <w:r w:rsidR="002D40DD">
        <w:t>Arts Midwest maintains a Twitter account and we ask you please tag @NEABigRead. We will be happy to share your content.</w:t>
      </w:r>
      <w:r w:rsidR="00B3728C">
        <w:t xml:space="preserve"> </w:t>
      </w:r>
      <w:r w:rsidR="00B3728C" w:rsidRPr="00B3728C">
        <w:t xml:space="preserve">For more guidance in planning your media campaign, please consult the NEA’s “Working with the Media Toolkit” on their website: </w:t>
      </w:r>
      <w:hyperlink r:id="rId50" w:history="1">
        <w:r w:rsidR="00B3728C" w:rsidRPr="00B3728C">
          <w:rPr>
            <w:rStyle w:val="Hyperlink"/>
          </w:rPr>
          <w:t>https://www.arts.gov/news/working-media-toolkit</w:t>
        </w:r>
      </w:hyperlink>
    </w:p>
    <w:p w14:paraId="7E2D205C" w14:textId="77777777" w:rsidR="005A099A" w:rsidRDefault="005A099A" w:rsidP="005A099A"/>
    <w:p w14:paraId="243F64AE" w14:textId="77777777" w:rsidR="005A099A" w:rsidRDefault="005A099A" w:rsidP="00B3728C">
      <w:pPr>
        <w:pStyle w:val="Heading1"/>
        <w:keepNext/>
        <w:spacing w:before="120" w:after="120" w:line="240" w:lineRule="auto"/>
        <w:contextualSpacing/>
      </w:pPr>
      <w:r>
        <w:t xml:space="preserve">Images </w:t>
      </w:r>
    </w:p>
    <w:p w14:paraId="2F063969" w14:textId="77777777" w:rsidR="005A099A" w:rsidRDefault="005A099A" w:rsidP="00D041BD">
      <w:r w:rsidRPr="003452F4">
        <w:t xml:space="preserve">We encourage you to take photos of the performance(s) and </w:t>
      </w:r>
      <w:r>
        <w:t xml:space="preserve">community engagement activities. </w:t>
      </w:r>
      <w:r>
        <w:rPr>
          <w:b/>
        </w:rPr>
        <w:t xml:space="preserve">This is highly recommended but not required. </w:t>
      </w:r>
      <w:r>
        <w:t>W</w:t>
      </w:r>
      <w:r w:rsidRPr="004B4375">
        <w:t xml:space="preserve">e </w:t>
      </w:r>
      <w:r>
        <w:t>will accept</w:t>
      </w:r>
      <w:r w:rsidRPr="004B4375">
        <w:t xml:space="preserve"> a maximum of </w:t>
      </w:r>
      <w:r w:rsidRPr="004B4375">
        <w:rPr>
          <w:b/>
        </w:rPr>
        <w:t xml:space="preserve">10 top-quality </w:t>
      </w:r>
      <w:r>
        <w:rPr>
          <w:b/>
        </w:rPr>
        <w:t xml:space="preserve">JPG </w:t>
      </w:r>
      <w:r w:rsidRPr="004B4375">
        <w:rPr>
          <w:b/>
        </w:rPr>
        <w:t>images</w:t>
      </w:r>
      <w:r w:rsidRPr="004B4375">
        <w:t xml:space="preserve"> of your </w:t>
      </w:r>
      <w:r>
        <w:t>NEA Big Read</w:t>
      </w:r>
      <w:r w:rsidRPr="004B4375">
        <w:t xml:space="preserve"> </w:t>
      </w:r>
      <w:r>
        <w:t>activities. Please, no photos of food. We love to see people engaging in the events.</w:t>
      </w:r>
    </w:p>
    <w:p w14:paraId="1CD52E97" w14:textId="77777777" w:rsidR="005A099A" w:rsidRDefault="005A099A" w:rsidP="005A099A">
      <w:pPr>
        <w:pStyle w:val="Heading2"/>
      </w:pPr>
      <w:r>
        <w:lastRenderedPageBreak/>
        <w:t>Permission and usage</w:t>
      </w:r>
    </w:p>
    <w:p w14:paraId="5D4DEF22" w14:textId="4108B583" w:rsidR="005A099A" w:rsidRPr="00EA4F15" w:rsidRDefault="005A099A" w:rsidP="00D041BD">
      <w:r>
        <w:t xml:space="preserve">Before submitting your images, it is important to </w:t>
      </w:r>
      <w:r w:rsidRPr="003452F4">
        <w:t xml:space="preserve">obtain </w:t>
      </w:r>
      <w:r>
        <w:t>p</w:t>
      </w:r>
      <w:r w:rsidRPr="003452F4">
        <w:t>ermissions, licenses, and copyrights for the</w:t>
      </w:r>
      <w:r>
        <w:t>se images</w:t>
      </w:r>
      <w:r w:rsidRPr="003452F4">
        <w:t xml:space="preserve">. </w:t>
      </w:r>
      <w:r>
        <w:t>Your</w:t>
      </w:r>
      <w:r w:rsidRPr="003452F4">
        <w:t xml:space="preserve"> organization </w:t>
      </w:r>
      <w:r w:rsidR="00B3728C">
        <w:t>gives</w:t>
      </w:r>
      <w:r w:rsidRPr="003452F4">
        <w:t xml:space="preserve"> Arts Midwest permission to use the</w:t>
      </w:r>
      <w:r>
        <w:t xml:space="preserve"> images</w:t>
      </w:r>
      <w:r w:rsidRPr="003452F4">
        <w:t xml:space="preserve"> for </w:t>
      </w:r>
      <w:r>
        <w:t xml:space="preserve">educational and </w:t>
      </w:r>
      <w:r w:rsidRPr="003452F4">
        <w:t>promotional purposes</w:t>
      </w:r>
      <w:r>
        <w:t>,</w:t>
      </w:r>
      <w:r w:rsidRPr="003452F4">
        <w:t xml:space="preserve"> in print</w:t>
      </w:r>
      <w:r>
        <w:t>,</w:t>
      </w:r>
      <w:r w:rsidRPr="003452F4">
        <w:t xml:space="preserve"> and </w:t>
      </w:r>
      <w:r>
        <w:t>on websites</w:t>
      </w:r>
      <w:r w:rsidRPr="003452F4">
        <w:t>.</w:t>
      </w:r>
      <w:r>
        <w:t xml:space="preserve"> Review the Image Permission and Usage spreadsheet available online in the Online Community and in the final report. If you submit images, you will be asked to upload this spreadsheet as part of your final report.</w:t>
      </w:r>
    </w:p>
    <w:sectPr w:rsidR="005A099A" w:rsidRPr="00EA4F15" w:rsidSect="00EF29E3">
      <w:headerReference w:type="default" r:id="rId51"/>
      <w:footerReference w:type="default" r:id="rId52"/>
      <w:headerReference w:type="first" r:id="rId53"/>
      <w:footerReference w:type="first" r:id="rId54"/>
      <w:pgSz w:w="12240" w:h="15840"/>
      <w:pgMar w:top="720" w:right="720" w:bottom="14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B7D49" w14:textId="77777777" w:rsidR="001A31DA" w:rsidRDefault="001A31DA" w:rsidP="00F063CA">
      <w:r>
        <w:separator/>
      </w:r>
    </w:p>
  </w:endnote>
  <w:endnote w:type="continuationSeparator" w:id="0">
    <w:p w14:paraId="7755DC8C" w14:textId="77777777" w:rsidR="001A31DA" w:rsidRDefault="001A31DA" w:rsidP="00F063CA">
      <w:r>
        <w:continuationSeparator/>
      </w:r>
    </w:p>
  </w:endnote>
  <w:endnote w:type="continuationNotice" w:id="1">
    <w:p w14:paraId="38DE80D3" w14:textId="77777777" w:rsidR="001A31DA" w:rsidRDefault="001A31DA" w:rsidP="00F06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ontserrat SemiBold">
    <w:altName w:val="Calibri"/>
    <w:panose1 w:val="00000700000000000000"/>
    <w:charset w:val="4D"/>
    <w:family w:val="auto"/>
    <w:pitch w:val="variable"/>
    <w:sig w:usb0="2000020F" w:usb1="00000003" w:usb2="00000000" w:usb3="00000000" w:csb0="00000197" w:csb1="00000000"/>
  </w:font>
  <w:font w:name="Arial (Body CS)">
    <w:altName w:val="Arial"/>
    <w:charset w:val="00"/>
    <w:family w:val="roman"/>
    <w:pitch w:val="default"/>
  </w:font>
  <w:font w:name="Merriweather">
    <w:panose1 w:val="00000500000000000000"/>
    <w:charset w:val="00"/>
    <w:family w:val="auto"/>
    <w:pitch w:val="variable"/>
    <w:sig w:usb0="20000207" w:usb1="00000002" w:usb2="00000000" w:usb3="00000000" w:csb0="00000197" w:csb1="00000000"/>
  </w:font>
  <w:font w:name="Montserrat Medium">
    <w:altName w:val="Calibri"/>
    <w:panose1 w:val="00000600000000000000"/>
    <w:charset w:val="4D"/>
    <w:family w:val="auto"/>
    <w:pitch w:val="variable"/>
    <w:sig w:usb0="2000020F" w:usb1="00000003" w:usb2="00000000" w:usb3="00000000" w:csb0="00000197" w:csb1="00000000"/>
  </w:font>
  <w:font w:name="Montserrat">
    <w:altName w:val="Calibri"/>
    <w:panose1 w:val="00000500000000000000"/>
    <w:charset w:val="4D"/>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Light">
    <w:altName w:val="Calibri"/>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029535"/>
      <w:docPartObj>
        <w:docPartGallery w:val="Page Numbers (Bottom of Page)"/>
        <w:docPartUnique/>
      </w:docPartObj>
    </w:sdtPr>
    <w:sdtEndPr>
      <w:rPr>
        <w:noProof/>
      </w:rPr>
    </w:sdtEndPr>
    <w:sdtContent>
      <w:p w14:paraId="3EB61F4E" w14:textId="6897BD52" w:rsidR="00E718BB" w:rsidRDefault="00E718BB">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064ADDB2" w14:textId="77777777" w:rsidR="00651DFF" w:rsidRDefault="00651DFF" w:rsidP="00F063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9F5D9" w14:textId="7D1718D8" w:rsidR="00651DFF" w:rsidRPr="00B52A7F" w:rsidRDefault="00651DFF" w:rsidP="00B53910">
    <w:pPr>
      <w:jc w:val="right"/>
    </w:pPr>
    <w:r w:rsidRPr="00B030DA">
      <w:rPr>
        <w:rFonts w:ascii="Montserrat" w:hAnsi="Montserrat"/>
      </w:rPr>
      <w:t>artsmidwest.org/</w:t>
    </w:r>
    <w:proofErr w:type="spellStart"/>
    <w:r w:rsidR="00D937EC">
      <w:rPr>
        <w:rFonts w:ascii="Montserrat SemiBold" w:hAnsi="Montserrat SemiBold"/>
        <w:color w:val="DA1472" w:themeColor="accent5" w:themeShade="BF"/>
      </w:rPr>
      <w:t>NEABigRead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87FC1" w14:textId="77777777" w:rsidR="001A31DA" w:rsidRDefault="001A31DA" w:rsidP="00F063CA">
      <w:r>
        <w:separator/>
      </w:r>
    </w:p>
  </w:footnote>
  <w:footnote w:type="continuationSeparator" w:id="0">
    <w:p w14:paraId="3FE7228E" w14:textId="77777777" w:rsidR="001A31DA" w:rsidRDefault="001A31DA" w:rsidP="00F063CA">
      <w:r>
        <w:continuationSeparator/>
      </w:r>
    </w:p>
  </w:footnote>
  <w:footnote w:type="continuationNotice" w:id="1">
    <w:p w14:paraId="335C3488" w14:textId="77777777" w:rsidR="001A31DA" w:rsidRDefault="001A31DA" w:rsidP="00F063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C59C" w14:textId="77777777" w:rsidR="00651DFF" w:rsidRDefault="00651DFF" w:rsidP="00F063CA">
    <w:pPr>
      <w:pStyle w:val="Header"/>
    </w:pPr>
  </w:p>
  <w:p w14:paraId="5790EFA0" w14:textId="77777777" w:rsidR="00651DFF" w:rsidRDefault="00651DFF" w:rsidP="00F063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8CF89" w14:textId="3D7138B5" w:rsidR="00651DFF" w:rsidRPr="00E1136B" w:rsidRDefault="00651DFF" w:rsidP="00F063CA">
    <w:pPr>
      <w:pStyle w:val="Title"/>
    </w:pPr>
    <w:r>
      <w:rPr>
        <w:noProof/>
        <w:color w:val="2B579A"/>
        <w:shd w:val="clear" w:color="auto" w:fill="E6E6E6"/>
      </w:rPr>
      <w:drawing>
        <wp:anchor distT="0" distB="0" distL="114300" distR="114300" simplePos="0" relativeHeight="251658240" behindDoc="1" locked="0" layoutInCell="1" allowOverlap="1" wp14:anchorId="1622A564" wp14:editId="3B994B73">
          <wp:simplePos x="0" y="0"/>
          <wp:positionH relativeFrom="column">
            <wp:posOffset>0</wp:posOffset>
          </wp:positionH>
          <wp:positionV relativeFrom="paragraph">
            <wp:posOffset>78105</wp:posOffset>
          </wp:positionV>
          <wp:extent cx="1052830" cy="846455"/>
          <wp:effectExtent l="0" t="0" r="1270" b="4445"/>
          <wp:wrapTight wrapText="bothSides">
            <wp:wrapPolygon edited="0">
              <wp:start x="0" y="0"/>
              <wp:lineTo x="0" y="21389"/>
              <wp:lineTo x="21366" y="21389"/>
              <wp:lineTo x="213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2830" cy="846455"/>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9E2357">
      <w:t>Grant agreement</w:t>
    </w:r>
  </w:p>
  <w:p w14:paraId="039EA4E0" w14:textId="77777777" w:rsidR="00651DFF" w:rsidRPr="00B52A7F" w:rsidRDefault="00651DFF" w:rsidP="00F06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601A0"/>
    <w:multiLevelType w:val="multilevel"/>
    <w:tmpl w:val="0B6A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902B7D"/>
    <w:multiLevelType w:val="hybridMultilevel"/>
    <w:tmpl w:val="35CA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052D1C"/>
    <w:multiLevelType w:val="hybridMultilevel"/>
    <w:tmpl w:val="2EB2D75C"/>
    <w:lvl w:ilvl="0" w:tplc="2EF4D184">
      <w:start w:val="1"/>
      <w:numFmt w:val="bullet"/>
      <w:pStyle w:val="ListParagraph"/>
      <w:lvlText w:val=""/>
      <w:lvlJc w:val="left"/>
      <w:pPr>
        <w:ind w:left="720" w:hanging="360"/>
      </w:pPr>
      <w:rPr>
        <w:rFonts w:ascii="Symbol" w:hAnsi="Symbol" w:hint="default"/>
        <w:color w:val="EF509C"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A268FD"/>
    <w:multiLevelType w:val="multilevel"/>
    <w:tmpl w:val="0B90F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BE1C35"/>
    <w:multiLevelType w:val="hybridMultilevel"/>
    <w:tmpl w:val="B802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B00546"/>
    <w:multiLevelType w:val="multilevel"/>
    <w:tmpl w:val="0DFE1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F42F82"/>
    <w:multiLevelType w:val="hybridMultilevel"/>
    <w:tmpl w:val="51CA254A"/>
    <w:lvl w:ilvl="0" w:tplc="0409000F">
      <w:start w:val="1"/>
      <w:numFmt w:val="decimal"/>
      <w:lvlText w:val="%1."/>
      <w:lvlJc w:val="left"/>
      <w:pPr>
        <w:tabs>
          <w:tab w:val="num" w:pos="1080"/>
        </w:tabs>
        <w:ind w:left="1080" w:hanging="720"/>
      </w:pPr>
      <w:rPr>
        <w:rFonts w:hint="default"/>
        <w:b/>
      </w:rPr>
    </w:lvl>
    <w:lvl w:ilvl="1" w:tplc="E5B4C7D6">
      <w:start w:val="1"/>
      <w:numFmt w:val="lowerRoman"/>
      <w:lvlText w:val="%2."/>
      <w:lvlJc w:val="right"/>
      <w:pPr>
        <w:tabs>
          <w:tab w:val="num" w:pos="1440"/>
        </w:tabs>
        <w:ind w:left="1440" w:hanging="360"/>
      </w:pPr>
      <w:rPr>
        <w:rFonts w:hint="default"/>
        <w:b w:val="0"/>
      </w:rPr>
    </w:lvl>
    <w:lvl w:ilvl="2" w:tplc="04090019">
      <w:start w:val="1"/>
      <w:numFmt w:val="lowerLetter"/>
      <w:lvlText w:val="%3."/>
      <w:lvlJc w:val="lef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FB4"/>
    <w:rsid w:val="000051E3"/>
    <w:rsid w:val="00005CF0"/>
    <w:rsid w:val="00007A1F"/>
    <w:rsid w:val="00015132"/>
    <w:rsid w:val="00016984"/>
    <w:rsid w:val="000179C8"/>
    <w:rsid w:val="00020F6C"/>
    <w:rsid w:val="0002421A"/>
    <w:rsid w:val="00026983"/>
    <w:rsid w:val="000310A9"/>
    <w:rsid w:val="00033D06"/>
    <w:rsid w:val="00040B44"/>
    <w:rsid w:val="00052B3B"/>
    <w:rsid w:val="00055E89"/>
    <w:rsid w:val="0005623C"/>
    <w:rsid w:val="000576D7"/>
    <w:rsid w:val="00057A16"/>
    <w:rsid w:val="00061B99"/>
    <w:rsid w:val="00066613"/>
    <w:rsid w:val="00075F51"/>
    <w:rsid w:val="0008350B"/>
    <w:rsid w:val="000927F9"/>
    <w:rsid w:val="000960BF"/>
    <w:rsid w:val="000A1313"/>
    <w:rsid w:val="000A3E6D"/>
    <w:rsid w:val="000B227C"/>
    <w:rsid w:val="000B3A18"/>
    <w:rsid w:val="000B3B0B"/>
    <w:rsid w:val="000B716B"/>
    <w:rsid w:val="000C215D"/>
    <w:rsid w:val="000C6120"/>
    <w:rsid w:val="000D5C8F"/>
    <w:rsid w:val="000D5D4E"/>
    <w:rsid w:val="000D797D"/>
    <w:rsid w:val="000E4C9E"/>
    <w:rsid w:val="000E58E6"/>
    <w:rsid w:val="000E6712"/>
    <w:rsid w:val="000F1526"/>
    <w:rsid w:val="001003FB"/>
    <w:rsid w:val="001025D5"/>
    <w:rsid w:val="001063E4"/>
    <w:rsid w:val="00106E4B"/>
    <w:rsid w:val="0011067E"/>
    <w:rsid w:val="00114845"/>
    <w:rsid w:val="00117507"/>
    <w:rsid w:val="00122C7B"/>
    <w:rsid w:val="001301E8"/>
    <w:rsid w:val="0013277B"/>
    <w:rsid w:val="001352F4"/>
    <w:rsid w:val="001373AB"/>
    <w:rsid w:val="00137D42"/>
    <w:rsid w:val="0014225C"/>
    <w:rsid w:val="00143C1F"/>
    <w:rsid w:val="001468B3"/>
    <w:rsid w:val="00147AF2"/>
    <w:rsid w:val="00150B1B"/>
    <w:rsid w:val="00151548"/>
    <w:rsid w:val="0015261B"/>
    <w:rsid w:val="00154F75"/>
    <w:rsid w:val="00155B05"/>
    <w:rsid w:val="001647CF"/>
    <w:rsid w:val="001662A3"/>
    <w:rsid w:val="00166330"/>
    <w:rsid w:val="00171207"/>
    <w:rsid w:val="00171651"/>
    <w:rsid w:val="00177924"/>
    <w:rsid w:val="00183A9B"/>
    <w:rsid w:val="00183EE0"/>
    <w:rsid w:val="0018607F"/>
    <w:rsid w:val="001906E3"/>
    <w:rsid w:val="00191031"/>
    <w:rsid w:val="00191D19"/>
    <w:rsid w:val="00195851"/>
    <w:rsid w:val="001969FA"/>
    <w:rsid w:val="001A2612"/>
    <w:rsid w:val="001A31DA"/>
    <w:rsid w:val="001B1679"/>
    <w:rsid w:val="001B3263"/>
    <w:rsid w:val="001B386C"/>
    <w:rsid w:val="001B4C89"/>
    <w:rsid w:val="001B5654"/>
    <w:rsid w:val="001B574A"/>
    <w:rsid w:val="001B6050"/>
    <w:rsid w:val="001C5B1E"/>
    <w:rsid w:val="001D0059"/>
    <w:rsid w:val="001E0728"/>
    <w:rsid w:val="001E13D3"/>
    <w:rsid w:val="001E25DD"/>
    <w:rsid w:val="001E51F4"/>
    <w:rsid w:val="001F0FCE"/>
    <w:rsid w:val="0020148F"/>
    <w:rsid w:val="00201E44"/>
    <w:rsid w:val="002047A8"/>
    <w:rsid w:val="00212C5F"/>
    <w:rsid w:val="002152D2"/>
    <w:rsid w:val="00215E23"/>
    <w:rsid w:val="00221DD6"/>
    <w:rsid w:val="0022493B"/>
    <w:rsid w:val="00225B3D"/>
    <w:rsid w:val="00231CA5"/>
    <w:rsid w:val="00235F83"/>
    <w:rsid w:val="00237CE7"/>
    <w:rsid w:val="002417FE"/>
    <w:rsid w:val="002460BF"/>
    <w:rsid w:val="00247A36"/>
    <w:rsid w:val="00251CC4"/>
    <w:rsid w:val="002566F5"/>
    <w:rsid w:val="00257ACF"/>
    <w:rsid w:val="00257D44"/>
    <w:rsid w:val="002616E3"/>
    <w:rsid w:val="002646E5"/>
    <w:rsid w:val="00266B50"/>
    <w:rsid w:val="002736C0"/>
    <w:rsid w:val="002763BD"/>
    <w:rsid w:val="00280C3F"/>
    <w:rsid w:val="00281C02"/>
    <w:rsid w:val="002826A7"/>
    <w:rsid w:val="00285CDC"/>
    <w:rsid w:val="00290051"/>
    <w:rsid w:val="00293AD3"/>
    <w:rsid w:val="00297BC8"/>
    <w:rsid w:val="002A0477"/>
    <w:rsid w:val="002B3EF0"/>
    <w:rsid w:val="002B41DD"/>
    <w:rsid w:val="002B4A70"/>
    <w:rsid w:val="002B77C1"/>
    <w:rsid w:val="002C0DDA"/>
    <w:rsid w:val="002C69A3"/>
    <w:rsid w:val="002C70ED"/>
    <w:rsid w:val="002D0FFB"/>
    <w:rsid w:val="002D2CA1"/>
    <w:rsid w:val="002D40DD"/>
    <w:rsid w:val="002D5D78"/>
    <w:rsid w:val="002E16B6"/>
    <w:rsid w:val="002E39DF"/>
    <w:rsid w:val="002F3FF8"/>
    <w:rsid w:val="002F4048"/>
    <w:rsid w:val="002F487C"/>
    <w:rsid w:val="00304C0A"/>
    <w:rsid w:val="0031485C"/>
    <w:rsid w:val="00314BF5"/>
    <w:rsid w:val="00316C9E"/>
    <w:rsid w:val="00321CDD"/>
    <w:rsid w:val="003248E8"/>
    <w:rsid w:val="003272F5"/>
    <w:rsid w:val="00336EA1"/>
    <w:rsid w:val="003377BF"/>
    <w:rsid w:val="00340084"/>
    <w:rsid w:val="003425C9"/>
    <w:rsid w:val="003460B5"/>
    <w:rsid w:val="00347CE0"/>
    <w:rsid w:val="00355DAD"/>
    <w:rsid w:val="00372512"/>
    <w:rsid w:val="00372ACF"/>
    <w:rsid w:val="00377EE1"/>
    <w:rsid w:val="0038024D"/>
    <w:rsid w:val="00383B40"/>
    <w:rsid w:val="00384034"/>
    <w:rsid w:val="00384950"/>
    <w:rsid w:val="00384A53"/>
    <w:rsid w:val="003901C8"/>
    <w:rsid w:val="0039268B"/>
    <w:rsid w:val="00392CB3"/>
    <w:rsid w:val="003944A1"/>
    <w:rsid w:val="003A531D"/>
    <w:rsid w:val="003B0811"/>
    <w:rsid w:val="003B66BA"/>
    <w:rsid w:val="003B6C59"/>
    <w:rsid w:val="003C2851"/>
    <w:rsid w:val="003C3A9D"/>
    <w:rsid w:val="003C5F2C"/>
    <w:rsid w:val="003C6AE0"/>
    <w:rsid w:val="003D2DF2"/>
    <w:rsid w:val="003D5424"/>
    <w:rsid w:val="003D60B7"/>
    <w:rsid w:val="003E07E6"/>
    <w:rsid w:val="003E08E2"/>
    <w:rsid w:val="003E2F63"/>
    <w:rsid w:val="003F059A"/>
    <w:rsid w:val="003F30E4"/>
    <w:rsid w:val="003F3565"/>
    <w:rsid w:val="003F7D77"/>
    <w:rsid w:val="004023E6"/>
    <w:rsid w:val="00410593"/>
    <w:rsid w:val="00411A6C"/>
    <w:rsid w:val="004269E0"/>
    <w:rsid w:val="004308E1"/>
    <w:rsid w:val="0043441E"/>
    <w:rsid w:val="00434DC5"/>
    <w:rsid w:val="00440DD1"/>
    <w:rsid w:val="00441266"/>
    <w:rsid w:val="00441AAF"/>
    <w:rsid w:val="00455C27"/>
    <w:rsid w:val="004676F6"/>
    <w:rsid w:val="00467899"/>
    <w:rsid w:val="00475C77"/>
    <w:rsid w:val="0047657C"/>
    <w:rsid w:val="004771D7"/>
    <w:rsid w:val="00494583"/>
    <w:rsid w:val="004947C6"/>
    <w:rsid w:val="004A30DD"/>
    <w:rsid w:val="004A570E"/>
    <w:rsid w:val="004A7DCD"/>
    <w:rsid w:val="004B09D3"/>
    <w:rsid w:val="004B511C"/>
    <w:rsid w:val="004B7D7B"/>
    <w:rsid w:val="004E2FB4"/>
    <w:rsid w:val="004E44FB"/>
    <w:rsid w:val="004F23E1"/>
    <w:rsid w:val="004F4A51"/>
    <w:rsid w:val="00501D05"/>
    <w:rsid w:val="0050593D"/>
    <w:rsid w:val="0051018C"/>
    <w:rsid w:val="00511947"/>
    <w:rsid w:val="0054174E"/>
    <w:rsid w:val="005451D9"/>
    <w:rsid w:val="00545A26"/>
    <w:rsid w:val="00545BDB"/>
    <w:rsid w:val="00547021"/>
    <w:rsid w:val="0055523E"/>
    <w:rsid w:val="00560947"/>
    <w:rsid w:val="00561287"/>
    <w:rsid w:val="005640CC"/>
    <w:rsid w:val="005729EC"/>
    <w:rsid w:val="00590F90"/>
    <w:rsid w:val="0059392A"/>
    <w:rsid w:val="00594BE3"/>
    <w:rsid w:val="005956B0"/>
    <w:rsid w:val="00597E4E"/>
    <w:rsid w:val="005A099A"/>
    <w:rsid w:val="005A5FEE"/>
    <w:rsid w:val="005A68F0"/>
    <w:rsid w:val="005D3F8D"/>
    <w:rsid w:val="005D4E19"/>
    <w:rsid w:val="005E57D4"/>
    <w:rsid w:val="005E5BE4"/>
    <w:rsid w:val="005E6BC3"/>
    <w:rsid w:val="005E6FFB"/>
    <w:rsid w:val="005E7146"/>
    <w:rsid w:val="005F049F"/>
    <w:rsid w:val="005F24E3"/>
    <w:rsid w:val="005F37C7"/>
    <w:rsid w:val="005F5544"/>
    <w:rsid w:val="005F632E"/>
    <w:rsid w:val="00604BFD"/>
    <w:rsid w:val="00610CEB"/>
    <w:rsid w:val="006154F8"/>
    <w:rsid w:val="00624958"/>
    <w:rsid w:val="006321DB"/>
    <w:rsid w:val="0063541B"/>
    <w:rsid w:val="006416B5"/>
    <w:rsid w:val="00643FD8"/>
    <w:rsid w:val="00650CF8"/>
    <w:rsid w:val="00651DFF"/>
    <w:rsid w:val="00657682"/>
    <w:rsid w:val="00661EBC"/>
    <w:rsid w:val="00664C44"/>
    <w:rsid w:val="00664D62"/>
    <w:rsid w:val="006669E3"/>
    <w:rsid w:val="006726F2"/>
    <w:rsid w:val="00677C7D"/>
    <w:rsid w:val="00681A09"/>
    <w:rsid w:val="00690F82"/>
    <w:rsid w:val="0069252F"/>
    <w:rsid w:val="00694180"/>
    <w:rsid w:val="006974F1"/>
    <w:rsid w:val="006A1273"/>
    <w:rsid w:val="006A2254"/>
    <w:rsid w:val="006A2472"/>
    <w:rsid w:val="006A5934"/>
    <w:rsid w:val="006C1324"/>
    <w:rsid w:val="006C2046"/>
    <w:rsid w:val="006C3CCD"/>
    <w:rsid w:val="006C494B"/>
    <w:rsid w:val="006D12FB"/>
    <w:rsid w:val="006E085F"/>
    <w:rsid w:val="006E0DCF"/>
    <w:rsid w:val="006E13EB"/>
    <w:rsid w:val="006E6E30"/>
    <w:rsid w:val="006F458B"/>
    <w:rsid w:val="006F60EB"/>
    <w:rsid w:val="00704072"/>
    <w:rsid w:val="00706497"/>
    <w:rsid w:val="007109CD"/>
    <w:rsid w:val="007114F2"/>
    <w:rsid w:val="0071198E"/>
    <w:rsid w:val="007131BA"/>
    <w:rsid w:val="00714AB9"/>
    <w:rsid w:val="00720EB1"/>
    <w:rsid w:val="00727AE0"/>
    <w:rsid w:val="00732C78"/>
    <w:rsid w:val="007332E8"/>
    <w:rsid w:val="00733FE9"/>
    <w:rsid w:val="00734826"/>
    <w:rsid w:val="00741DA7"/>
    <w:rsid w:val="00744E7D"/>
    <w:rsid w:val="00751080"/>
    <w:rsid w:val="00752343"/>
    <w:rsid w:val="00756520"/>
    <w:rsid w:val="00762CAF"/>
    <w:rsid w:val="007634DB"/>
    <w:rsid w:val="00766599"/>
    <w:rsid w:val="007811C8"/>
    <w:rsid w:val="00783DE9"/>
    <w:rsid w:val="00793FEA"/>
    <w:rsid w:val="00796DC2"/>
    <w:rsid w:val="00797361"/>
    <w:rsid w:val="007A3E67"/>
    <w:rsid w:val="007A653A"/>
    <w:rsid w:val="007B2C68"/>
    <w:rsid w:val="007B30CF"/>
    <w:rsid w:val="007B3E90"/>
    <w:rsid w:val="007B7660"/>
    <w:rsid w:val="007D1938"/>
    <w:rsid w:val="007E7332"/>
    <w:rsid w:val="007F5A42"/>
    <w:rsid w:val="007F7DBC"/>
    <w:rsid w:val="008024F0"/>
    <w:rsid w:val="008024FA"/>
    <w:rsid w:val="00804103"/>
    <w:rsid w:val="00804A05"/>
    <w:rsid w:val="00806307"/>
    <w:rsid w:val="00811181"/>
    <w:rsid w:val="00814961"/>
    <w:rsid w:val="00815423"/>
    <w:rsid w:val="00817737"/>
    <w:rsid w:val="00822C7C"/>
    <w:rsid w:val="00834ADA"/>
    <w:rsid w:val="00836BCE"/>
    <w:rsid w:val="00844CE7"/>
    <w:rsid w:val="00857A4B"/>
    <w:rsid w:val="00861884"/>
    <w:rsid w:val="00862461"/>
    <w:rsid w:val="00862875"/>
    <w:rsid w:val="0086420E"/>
    <w:rsid w:val="00865B32"/>
    <w:rsid w:val="008803D9"/>
    <w:rsid w:val="00880D8F"/>
    <w:rsid w:val="0088164E"/>
    <w:rsid w:val="00881C31"/>
    <w:rsid w:val="00881E64"/>
    <w:rsid w:val="00884164"/>
    <w:rsid w:val="00885A02"/>
    <w:rsid w:val="00885C92"/>
    <w:rsid w:val="008936F3"/>
    <w:rsid w:val="00895E17"/>
    <w:rsid w:val="008A28BE"/>
    <w:rsid w:val="008B2DA6"/>
    <w:rsid w:val="008C19EB"/>
    <w:rsid w:val="008C32A5"/>
    <w:rsid w:val="008C5901"/>
    <w:rsid w:val="008C5FFD"/>
    <w:rsid w:val="008D2817"/>
    <w:rsid w:val="008E03E7"/>
    <w:rsid w:val="008E40BD"/>
    <w:rsid w:val="008F4111"/>
    <w:rsid w:val="0090262A"/>
    <w:rsid w:val="00903A43"/>
    <w:rsid w:val="00904D75"/>
    <w:rsid w:val="009053D5"/>
    <w:rsid w:val="00905465"/>
    <w:rsid w:val="00905B8B"/>
    <w:rsid w:val="00912506"/>
    <w:rsid w:val="00916DB0"/>
    <w:rsid w:val="00927082"/>
    <w:rsid w:val="00930A74"/>
    <w:rsid w:val="00930A7A"/>
    <w:rsid w:val="009312BD"/>
    <w:rsid w:val="00932D93"/>
    <w:rsid w:val="00937644"/>
    <w:rsid w:val="00937F00"/>
    <w:rsid w:val="0094104E"/>
    <w:rsid w:val="00950877"/>
    <w:rsid w:val="00956D7A"/>
    <w:rsid w:val="00964779"/>
    <w:rsid w:val="009653E8"/>
    <w:rsid w:val="009660E2"/>
    <w:rsid w:val="0097009A"/>
    <w:rsid w:val="00970DA7"/>
    <w:rsid w:val="0097163C"/>
    <w:rsid w:val="00974A35"/>
    <w:rsid w:val="00975714"/>
    <w:rsid w:val="009759AE"/>
    <w:rsid w:val="00984015"/>
    <w:rsid w:val="009854A1"/>
    <w:rsid w:val="00985A94"/>
    <w:rsid w:val="00992956"/>
    <w:rsid w:val="0099412A"/>
    <w:rsid w:val="009A1014"/>
    <w:rsid w:val="009A4E41"/>
    <w:rsid w:val="009A7E55"/>
    <w:rsid w:val="009B0B62"/>
    <w:rsid w:val="009B1782"/>
    <w:rsid w:val="009B2D82"/>
    <w:rsid w:val="009B64B7"/>
    <w:rsid w:val="009B6969"/>
    <w:rsid w:val="009B7E76"/>
    <w:rsid w:val="009C1604"/>
    <w:rsid w:val="009C4774"/>
    <w:rsid w:val="009C521C"/>
    <w:rsid w:val="009D1380"/>
    <w:rsid w:val="009D192E"/>
    <w:rsid w:val="009D240F"/>
    <w:rsid w:val="009D259C"/>
    <w:rsid w:val="009D54F9"/>
    <w:rsid w:val="009E2357"/>
    <w:rsid w:val="009E3B66"/>
    <w:rsid w:val="009E6EFE"/>
    <w:rsid w:val="009E7456"/>
    <w:rsid w:val="009F013B"/>
    <w:rsid w:val="009F1A88"/>
    <w:rsid w:val="00A05060"/>
    <w:rsid w:val="00A11C8B"/>
    <w:rsid w:val="00A148C1"/>
    <w:rsid w:val="00A1783D"/>
    <w:rsid w:val="00A20917"/>
    <w:rsid w:val="00A21277"/>
    <w:rsid w:val="00A24E92"/>
    <w:rsid w:val="00A258C2"/>
    <w:rsid w:val="00A33478"/>
    <w:rsid w:val="00A40F05"/>
    <w:rsid w:val="00A451CA"/>
    <w:rsid w:val="00A4681E"/>
    <w:rsid w:val="00A517D1"/>
    <w:rsid w:val="00A522AE"/>
    <w:rsid w:val="00A53155"/>
    <w:rsid w:val="00A5567D"/>
    <w:rsid w:val="00A64D95"/>
    <w:rsid w:val="00A70E8D"/>
    <w:rsid w:val="00A727BA"/>
    <w:rsid w:val="00A758D6"/>
    <w:rsid w:val="00A76035"/>
    <w:rsid w:val="00A80E53"/>
    <w:rsid w:val="00A8172D"/>
    <w:rsid w:val="00A907E6"/>
    <w:rsid w:val="00A9189E"/>
    <w:rsid w:val="00A92515"/>
    <w:rsid w:val="00A931E4"/>
    <w:rsid w:val="00AA0952"/>
    <w:rsid w:val="00AB42A5"/>
    <w:rsid w:val="00AC049A"/>
    <w:rsid w:val="00AC4A3F"/>
    <w:rsid w:val="00AD4938"/>
    <w:rsid w:val="00AD7996"/>
    <w:rsid w:val="00AE4F92"/>
    <w:rsid w:val="00AE5BFB"/>
    <w:rsid w:val="00AF2690"/>
    <w:rsid w:val="00AF3A35"/>
    <w:rsid w:val="00B00192"/>
    <w:rsid w:val="00B01636"/>
    <w:rsid w:val="00B01905"/>
    <w:rsid w:val="00B030DA"/>
    <w:rsid w:val="00B10709"/>
    <w:rsid w:val="00B136D5"/>
    <w:rsid w:val="00B16AC5"/>
    <w:rsid w:val="00B170D0"/>
    <w:rsid w:val="00B1710E"/>
    <w:rsid w:val="00B17A3B"/>
    <w:rsid w:val="00B23FFA"/>
    <w:rsid w:val="00B251F3"/>
    <w:rsid w:val="00B26E3A"/>
    <w:rsid w:val="00B279FB"/>
    <w:rsid w:val="00B308A5"/>
    <w:rsid w:val="00B3728C"/>
    <w:rsid w:val="00B42D1F"/>
    <w:rsid w:val="00B43535"/>
    <w:rsid w:val="00B470DC"/>
    <w:rsid w:val="00B4711A"/>
    <w:rsid w:val="00B52A7F"/>
    <w:rsid w:val="00B53910"/>
    <w:rsid w:val="00B54A4E"/>
    <w:rsid w:val="00B57988"/>
    <w:rsid w:val="00B63E7E"/>
    <w:rsid w:val="00B738D8"/>
    <w:rsid w:val="00B739C7"/>
    <w:rsid w:val="00B90169"/>
    <w:rsid w:val="00B95BE7"/>
    <w:rsid w:val="00B973A9"/>
    <w:rsid w:val="00BB73A7"/>
    <w:rsid w:val="00BC1ADD"/>
    <w:rsid w:val="00BD10ED"/>
    <w:rsid w:val="00BE10EA"/>
    <w:rsid w:val="00BE1EEE"/>
    <w:rsid w:val="00BE31AC"/>
    <w:rsid w:val="00BE48CB"/>
    <w:rsid w:val="00BF78E7"/>
    <w:rsid w:val="00C0042E"/>
    <w:rsid w:val="00C0498E"/>
    <w:rsid w:val="00C06BF4"/>
    <w:rsid w:val="00C116EB"/>
    <w:rsid w:val="00C12712"/>
    <w:rsid w:val="00C34DE5"/>
    <w:rsid w:val="00C4121A"/>
    <w:rsid w:val="00C445C1"/>
    <w:rsid w:val="00C5727E"/>
    <w:rsid w:val="00C576F4"/>
    <w:rsid w:val="00C64101"/>
    <w:rsid w:val="00C8195A"/>
    <w:rsid w:val="00C843CB"/>
    <w:rsid w:val="00C900DB"/>
    <w:rsid w:val="00CA757E"/>
    <w:rsid w:val="00CB060B"/>
    <w:rsid w:val="00CB1B0E"/>
    <w:rsid w:val="00CB2931"/>
    <w:rsid w:val="00CB49A4"/>
    <w:rsid w:val="00CB6CBF"/>
    <w:rsid w:val="00CB704B"/>
    <w:rsid w:val="00CC2871"/>
    <w:rsid w:val="00CC46F0"/>
    <w:rsid w:val="00CC6CBB"/>
    <w:rsid w:val="00CD3813"/>
    <w:rsid w:val="00CD3DDF"/>
    <w:rsid w:val="00CD4CAC"/>
    <w:rsid w:val="00CD5882"/>
    <w:rsid w:val="00CE0D49"/>
    <w:rsid w:val="00CE45FE"/>
    <w:rsid w:val="00CE48DF"/>
    <w:rsid w:val="00CE70A5"/>
    <w:rsid w:val="00D00D3A"/>
    <w:rsid w:val="00D01396"/>
    <w:rsid w:val="00D041BD"/>
    <w:rsid w:val="00D05B5A"/>
    <w:rsid w:val="00D12D55"/>
    <w:rsid w:val="00D13BC1"/>
    <w:rsid w:val="00D14EFD"/>
    <w:rsid w:val="00D17876"/>
    <w:rsid w:val="00D329D7"/>
    <w:rsid w:val="00D33E31"/>
    <w:rsid w:val="00D35E3C"/>
    <w:rsid w:val="00D44415"/>
    <w:rsid w:val="00D4672C"/>
    <w:rsid w:val="00D54A62"/>
    <w:rsid w:val="00D55EE5"/>
    <w:rsid w:val="00D60BB0"/>
    <w:rsid w:val="00D66AD2"/>
    <w:rsid w:val="00D66FAE"/>
    <w:rsid w:val="00D6728A"/>
    <w:rsid w:val="00D71E71"/>
    <w:rsid w:val="00D73651"/>
    <w:rsid w:val="00D74AD7"/>
    <w:rsid w:val="00D800E3"/>
    <w:rsid w:val="00D92B2B"/>
    <w:rsid w:val="00D937EC"/>
    <w:rsid w:val="00D96EED"/>
    <w:rsid w:val="00D97210"/>
    <w:rsid w:val="00DA039B"/>
    <w:rsid w:val="00DA0EC2"/>
    <w:rsid w:val="00DA206D"/>
    <w:rsid w:val="00DB10EC"/>
    <w:rsid w:val="00DB2686"/>
    <w:rsid w:val="00DB272C"/>
    <w:rsid w:val="00DB7D29"/>
    <w:rsid w:val="00DC61AC"/>
    <w:rsid w:val="00DD0265"/>
    <w:rsid w:val="00DD4456"/>
    <w:rsid w:val="00DE1F70"/>
    <w:rsid w:val="00DE7FAB"/>
    <w:rsid w:val="00DF4214"/>
    <w:rsid w:val="00E04FD9"/>
    <w:rsid w:val="00E1136B"/>
    <w:rsid w:val="00E114C6"/>
    <w:rsid w:val="00E12B77"/>
    <w:rsid w:val="00E1484C"/>
    <w:rsid w:val="00E22788"/>
    <w:rsid w:val="00E375A7"/>
    <w:rsid w:val="00E37ED6"/>
    <w:rsid w:val="00E400E0"/>
    <w:rsid w:val="00E52870"/>
    <w:rsid w:val="00E52889"/>
    <w:rsid w:val="00E55F01"/>
    <w:rsid w:val="00E574BD"/>
    <w:rsid w:val="00E60A3A"/>
    <w:rsid w:val="00E62DF9"/>
    <w:rsid w:val="00E63861"/>
    <w:rsid w:val="00E70583"/>
    <w:rsid w:val="00E718BB"/>
    <w:rsid w:val="00E720FC"/>
    <w:rsid w:val="00E73BB4"/>
    <w:rsid w:val="00E75EBD"/>
    <w:rsid w:val="00E833C2"/>
    <w:rsid w:val="00E839CD"/>
    <w:rsid w:val="00E8407D"/>
    <w:rsid w:val="00E87FA7"/>
    <w:rsid w:val="00E92499"/>
    <w:rsid w:val="00E92DCA"/>
    <w:rsid w:val="00E94067"/>
    <w:rsid w:val="00E97B11"/>
    <w:rsid w:val="00EA4F15"/>
    <w:rsid w:val="00EA600F"/>
    <w:rsid w:val="00EB24E9"/>
    <w:rsid w:val="00EB4F9E"/>
    <w:rsid w:val="00EC3693"/>
    <w:rsid w:val="00EC62F1"/>
    <w:rsid w:val="00EC749C"/>
    <w:rsid w:val="00EC79F7"/>
    <w:rsid w:val="00ED204D"/>
    <w:rsid w:val="00ED287D"/>
    <w:rsid w:val="00ED49E3"/>
    <w:rsid w:val="00EE3EEC"/>
    <w:rsid w:val="00EF0AA5"/>
    <w:rsid w:val="00EF29E3"/>
    <w:rsid w:val="00EF3C3C"/>
    <w:rsid w:val="00EF5AD6"/>
    <w:rsid w:val="00EF7FD7"/>
    <w:rsid w:val="00F0633E"/>
    <w:rsid w:val="00F063CA"/>
    <w:rsid w:val="00F1018D"/>
    <w:rsid w:val="00F11F2C"/>
    <w:rsid w:val="00F12F16"/>
    <w:rsid w:val="00F17E3F"/>
    <w:rsid w:val="00F225B6"/>
    <w:rsid w:val="00F2274B"/>
    <w:rsid w:val="00F24A30"/>
    <w:rsid w:val="00F26A32"/>
    <w:rsid w:val="00F3677E"/>
    <w:rsid w:val="00F53319"/>
    <w:rsid w:val="00F56B36"/>
    <w:rsid w:val="00F61288"/>
    <w:rsid w:val="00F63ABA"/>
    <w:rsid w:val="00F74A86"/>
    <w:rsid w:val="00F8030D"/>
    <w:rsid w:val="00F82430"/>
    <w:rsid w:val="00F901A0"/>
    <w:rsid w:val="00F90F0E"/>
    <w:rsid w:val="00F93F54"/>
    <w:rsid w:val="00F95896"/>
    <w:rsid w:val="00FA290B"/>
    <w:rsid w:val="00FA5585"/>
    <w:rsid w:val="00FA7639"/>
    <w:rsid w:val="00FA769F"/>
    <w:rsid w:val="00FB08A1"/>
    <w:rsid w:val="00FB7181"/>
    <w:rsid w:val="00FB78A8"/>
    <w:rsid w:val="00FD70E2"/>
    <w:rsid w:val="00FE3F9B"/>
    <w:rsid w:val="00FE7325"/>
    <w:rsid w:val="00FF36E4"/>
    <w:rsid w:val="00FF45B3"/>
    <w:rsid w:val="0118F25E"/>
    <w:rsid w:val="0196602A"/>
    <w:rsid w:val="01B2FC6F"/>
    <w:rsid w:val="02056C4F"/>
    <w:rsid w:val="023F6C12"/>
    <w:rsid w:val="02D7B7F8"/>
    <w:rsid w:val="034994DB"/>
    <w:rsid w:val="04B4063D"/>
    <w:rsid w:val="050ABAF7"/>
    <w:rsid w:val="065C1D5D"/>
    <w:rsid w:val="06EB56EC"/>
    <w:rsid w:val="0705540E"/>
    <w:rsid w:val="073E2A96"/>
    <w:rsid w:val="078F89F0"/>
    <w:rsid w:val="07E62277"/>
    <w:rsid w:val="0808971A"/>
    <w:rsid w:val="08279D82"/>
    <w:rsid w:val="082D5B54"/>
    <w:rsid w:val="09A85E18"/>
    <w:rsid w:val="0A7F7511"/>
    <w:rsid w:val="0B1D522E"/>
    <w:rsid w:val="0B4383D3"/>
    <w:rsid w:val="0C0FA362"/>
    <w:rsid w:val="0C843E20"/>
    <w:rsid w:val="0CBEC1D2"/>
    <w:rsid w:val="0CF7D525"/>
    <w:rsid w:val="0E60835B"/>
    <w:rsid w:val="0E632CBC"/>
    <w:rsid w:val="0E8942CD"/>
    <w:rsid w:val="0F435216"/>
    <w:rsid w:val="0F96FA85"/>
    <w:rsid w:val="0FA03B83"/>
    <w:rsid w:val="0FDAE534"/>
    <w:rsid w:val="0FF4122E"/>
    <w:rsid w:val="101DAD81"/>
    <w:rsid w:val="1059A460"/>
    <w:rsid w:val="1089A7C1"/>
    <w:rsid w:val="10C80161"/>
    <w:rsid w:val="1203B490"/>
    <w:rsid w:val="12431B17"/>
    <w:rsid w:val="1405800A"/>
    <w:rsid w:val="14238F39"/>
    <w:rsid w:val="14284CAE"/>
    <w:rsid w:val="1431B6EE"/>
    <w:rsid w:val="146B27B1"/>
    <w:rsid w:val="1494B6BB"/>
    <w:rsid w:val="14E3FF34"/>
    <w:rsid w:val="151148E6"/>
    <w:rsid w:val="162767CC"/>
    <w:rsid w:val="16F46260"/>
    <w:rsid w:val="16F79A8D"/>
    <w:rsid w:val="17699194"/>
    <w:rsid w:val="1851BF08"/>
    <w:rsid w:val="18809EE5"/>
    <w:rsid w:val="189F996E"/>
    <w:rsid w:val="18CBD6C4"/>
    <w:rsid w:val="195C2236"/>
    <w:rsid w:val="198CDC5F"/>
    <w:rsid w:val="1AEB2F54"/>
    <w:rsid w:val="1CEB48A5"/>
    <w:rsid w:val="1D8910AE"/>
    <w:rsid w:val="1DC54411"/>
    <w:rsid w:val="1DD5BEF6"/>
    <w:rsid w:val="1F188A7B"/>
    <w:rsid w:val="1F87297F"/>
    <w:rsid w:val="1F9AB38C"/>
    <w:rsid w:val="207B1A6E"/>
    <w:rsid w:val="2154F122"/>
    <w:rsid w:val="23144CE5"/>
    <w:rsid w:val="23C8ABE2"/>
    <w:rsid w:val="23D306A3"/>
    <w:rsid w:val="2438789E"/>
    <w:rsid w:val="2446601E"/>
    <w:rsid w:val="24AA73B7"/>
    <w:rsid w:val="24C4A33E"/>
    <w:rsid w:val="257A308E"/>
    <w:rsid w:val="25C3DA42"/>
    <w:rsid w:val="26B9269D"/>
    <w:rsid w:val="26D79068"/>
    <w:rsid w:val="26FB8C08"/>
    <w:rsid w:val="27183ECE"/>
    <w:rsid w:val="27D9BF3E"/>
    <w:rsid w:val="28DF2001"/>
    <w:rsid w:val="2ADB8156"/>
    <w:rsid w:val="2BE7FFD9"/>
    <w:rsid w:val="2C0CC3BC"/>
    <w:rsid w:val="2CC837A7"/>
    <w:rsid w:val="2CE1482B"/>
    <w:rsid w:val="2CF1C2D0"/>
    <w:rsid w:val="2D1B76DE"/>
    <w:rsid w:val="2E192F85"/>
    <w:rsid w:val="2E79EAD0"/>
    <w:rsid w:val="2EA62197"/>
    <w:rsid w:val="2ECED5C5"/>
    <w:rsid w:val="2F2CB75D"/>
    <w:rsid w:val="2F63AE96"/>
    <w:rsid w:val="2FC2F18D"/>
    <w:rsid w:val="302A5CEF"/>
    <w:rsid w:val="302B4C95"/>
    <w:rsid w:val="307033BE"/>
    <w:rsid w:val="319C1B32"/>
    <w:rsid w:val="31CACF6D"/>
    <w:rsid w:val="32CEC422"/>
    <w:rsid w:val="32D667EB"/>
    <w:rsid w:val="330760BC"/>
    <w:rsid w:val="33467FE6"/>
    <w:rsid w:val="337A9A77"/>
    <w:rsid w:val="339ED69A"/>
    <w:rsid w:val="33F03F29"/>
    <w:rsid w:val="3506C408"/>
    <w:rsid w:val="358DFE86"/>
    <w:rsid w:val="36086EF4"/>
    <w:rsid w:val="36A3A330"/>
    <w:rsid w:val="37201629"/>
    <w:rsid w:val="3761E23D"/>
    <w:rsid w:val="389F75AB"/>
    <w:rsid w:val="394688BC"/>
    <w:rsid w:val="39B80EA3"/>
    <w:rsid w:val="3A6AFC7E"/>
    <w:rsid w:val="3AF2341B"/>
    <w:rsid w:val="3B540B0D"/>
    <w:rsid w:val="3B69F17E"/>
    <w:rsid w:val="3C09A644"/>
    <w:rsid w:val="3C4BB74A"/>
    <w:rsid w:val="3C63E420"/>
    <w:rsid w:val="3D17BC1F"/>
    <w:rsid w:val="3DB300DB"/>
    <w:rsid w:val="3EC50040"/>
    <w:rsid w:val="3EC9B262"/>
    <w:rsid w:val="3ECCB87F"/>
    <w:rsid w:val="3EDC369E"/>
    <w:rsid w:val="3F197E6B"/>
    <w:rsid w:val="3F30B09A"/>
    <w:rsid w:val="40587C9A"/>
    <w:rsid w:val="40E13D0F"/>
    <w:rsid w:val="412A5547"/>
    <w:rsid w:val="41A5D513"/>
    <w:rsid w:val="41FAC160"/>
    <w:rsid w:val="4321B09B"/>
    <w:rsid w:val="436DD9AB"/>
    <w:rsid w:val="43BC30C2"/>
    <w:rsid w:val="43C7A1DE"/>
    <w:rsid w:val="446455C1"/>
    <w:rsid w:val="4481DECA"/>
    <w:rsid w:val="450C228D"/>
    <w:rsid w:val="4514975D"/>
    <w:rsid w:val="454C45BF"/>
    <w:rsid w:val="45E66FB1"/>
    <w:rsid w:val="4613A5ED"/>
    <w:rsid w:val="46D109A8"/>
    <w:rsid w:val="46D30D36"/>
    <w:rsid w:val="47009094"/>
    <w:rsid w:val="48D08049"/>
    <w:rsid w:val="49E6029F"/>
    <w:rsid w:val="4AD815AB"/>
    <w:rsid w:val="4B06FAEE"/>
    <w:rsid w:val="4C5DD8FC"/>
    <w:rsid w:val="4C913F4A"/>
    <w:rsid w:val="4C9C80AB"/>
    <w:rsid w:val="4CC05F45"/>
    <w:rsid w:val="4D0EB849"/>
    <w:rsid w:val="4E231790"/>
    <w:rsid w:val="4E347D81"/>
    <w:rsid w:val="4E9BDEF0"/>
    <w:rsid w:val="4EA0B522"/>
    <w:rsid w:val="4EFF752D"/>
    <w:rsid w:val="4FB24B15"/>
    <w:rsid w:val="4FEA44CA"/>
    <w:rsid w:val="5014A2AB"/>
    <w:rsid w:val="50A28E76"/>
    <w:rsid w:val="51CE6D3F"/>
    <w:rsid w:val="51E126F0"/>
    <w:rsid w:val="51F05FB8"/>
    <w:rsid w:val="520280A8"/>
    <w:rsid w:val="526A43D5"/>
    <w:rsid w:val="5294178A"/>
    <w:rsid w:val="532FBEC1"/>
    <w:rsid w:val="5399F9CF"/>
    <w:rsid w:val="53A7C3A2"/>
    <w:rsid w:val="54470345"/>
    <w:rsid w:val="54BFFEBF"/>
    <w:rsid w:val="54C07F9A"/>
    <w:rsid w:val="5558139E"/>
    <w:rsid w:val="55DA2729"/>
    <w:rsid w:val="55DFF0F1"/>
    <w:rsid w:val="560EBFAE"/>
    <w:rsid w:val="56C70FE3"/>
    <w:rsid w:val="5788D708"/>
    <w:rsid w:val="57AB83FF"/>
    <w:rsid w:val="582DF508"/>
    <w:rsid w:val="583CCA00"/>
    <w:rsid w:val="585BEAE7"/>
    <w:rsid w:val="58831CF0"/>
    <w:rsid w:val="58A71B86"/>
    <w:rsid w:val="58D51124"/>
    <w:rsid w:val="591006FA"/>
    <w:rsid w:val="597902F3"/>
    <w:rsid w:val="598782EF"/>
    <w:rsid w:val="5996E101"/>
    <w:rsid w:val="59B8C2CC"/>
    <w:rsid w:val="59D5C44A"/>
    <w:rsid w:val="59F28F25"/>
    <w:rsid w:val="5AD31973"/>
    <w:rsid w:val="5B619163"/>
    <w:rsid w:val="5C6FD2C5"/>
    <w:rsid w:val="5D1A9645"/>
    <w:rsid w:val="5D889A74"/>
    <w:rsid w:val="5DEB4E38"/>
    <w:rsid w:val="5E0EF3DA"/>
    <w:rsid w:val="5E73C6CD"/>
    <w:rsid w:val="5E8A8A58"/>
    <w:rsid w:val="5EA9F5AB"/>
    <w:rsid w:val="5EB9133C"/>
    <w:rsid w:val="5EC1FF8E"/>
    <w:rsid w:val="5F3ADDA1"/>
    <w:rsid w:val="5F3E8596"/>
    <w:rsid w:val="5F4E63EE"/>
    <w:rsid w:val="5F535AAB"/>
    <w:rsid w:val="5F5BBC4B"/>
    <w:rsid w:val="5FA6F635"/>
    <w:rsid w:val="6000B5EB"/>
    <w:rsid w:val="610CC8D0"/>
    <w:rsid w:val="612C2C11"/>
    <w:rsid w:val="61808AFE"/>
    <w:rsid w:val="621B2104"/>
    <w:rsid w:val="63A40403"/>
    <w:rsid w:val="63B3EA39"/>
    <w:rsid w:val="63B5F02E"/>
    <w:rsid w:val="63C76987"/>
    <w:rsid w:val="63E96A5B"/>
    <w:rsid w:val="640D8383"/>
    <w:rsid w:val="6427A58A"/>
    <w:rsid w:val="643CD813"/>
    <w:rsid w:val="64717A81"/>
    <w:rsid w:val="66028325"/>
    <w:rsid w:val="666A2922"/>
    <w:rsid w:val="66849833"/>
    <w:rsid w:val="669F4C24"/>
    <w:rsid w:val="66EEBFAD"/>
    <w:rsid w:val="66F6E544"/>
    <w:rsid w:val="67ABADA5"/>
    <w:rsid w:val="685AA841"/>
    <w:rsid w:val="68E68191"/>
    <w:rsid w:val="697D7CA7"/>
    <w:rsid w:val="698D8D00"/>
    <w:rsid w:val="69B8F366"/>
    <w:rsid w:val="6A1E5040"/>
    <w:rsid w:val="6A478C36"/>
    <w:rsid w:val="6A85D2F6"/>
    <w:rsid w:val="6B8178A2"/>
    <w:rsid w:val="6C849ADD"/>
    <w:rsid w:val="6C98344B"/>
    <w:rsid w:val="6D95D407"/>
    <w:rsid w:val="6DCD42F8"/>
    <w:rsid w:val="6DFA3922"/>
    <w:rsid w:val="6ECD2E44"/>
    <w:rsid w:val="6F4FAEA5"/>
    <w:rsid w:val="6F7597A1"/>
    <w:rsid w:val="6F788BED"/>
    <w:rsid w:val="6FB93CF1"/>
    <w:rsid w:val="7049793F"/>
    <w:rsid w:val="709F5070"/>
    <w:rsid w:val="70D6E173"/>
    <w:rsid w:val="70D97D38"/>
    <w:rsid w:val="7119C5B2"/>
    <w:rsid w:val="713ED5FE"/>
    <w:rsid w:val="717306C8"/>
    <w:rsid w:val="738DDC4E"/>
    <w:rsid w:val="738FFFE7"/>
    <w:rsid w:val="740657B2"/>
    <w:rsid w:val="74D72891"/>
    <w:rsid w:val="750C6E47"/>
    <w:rsid w:val="7680DDD5"/>
    <w:rsid w:val="76C70AE1"/>
    <w:rsid w:val="77825360"/>
    <w:rsid w:val="7799194C"/>
    <w:rsid w:val="780DB20C"/>
    <w:rsid w:val="781295A1"/>
    <w:rsid w:val="781A1CA5"/>
    <w:rsid w:val="782D33A0"/>
    <w:rsid w:val="789AA19E"/>
    <w:rsid w:val="78FBB258"/>
    <w:rsid w:val="7950F5B3"/>
    <w:rsid w:val="7A513AFB"/>
    <w:rsid w:val="7A859BED"/>
    <w:rsid w:val="7AB1192A"/>
    <w:rsid w:val="7C21DCEA"/>
    <w:rsid w:val="7C67AD28"/>
    <w:rsid w:val="7C9D01C0"/>
    <w:rsid w:val="7D9855E1"/>
    <w:rsid w:val="7DC4A28F"/>
    <w:rsid w:val="7E6894C8"/>
    <w:rsid w:val="7E6DC199"/>
    <w:rsid w:val="7EACFF26"/>
    <w:rsid w:val="7F1D5946"/>
    <w:rsid w:val="7F26E518"/>
    <w:rsid w:val="7F82C869"/>
    <w:rsid w:val="7F9FC4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89D7D"/>
  <w15:chartTrackingRefBased/>
  <w15:docId w15:val="{9DEE3895-52D1-41F6-9E9D-B433079E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3CA"/>
    <w:rPr>
      <w:rFonts w:ascii="Georgia" w:hAnsi="Georgia"/>
      <w:color w:val="717172"/>
    </w:rPr>
  </w:style>
  <w:style w:type="paragraph" w:styleId="Heading1">
    <w:name w:val="heading 1"/>
    <w:next w:val="Normal"/>
    <w:link w:val="Heading1Char"/>
    <w:uiPriority w:val="9"/>
    <w:qFormat/>
    <w:rsid w:val="00372512"/>
    <w:pPr>
      <w:spacing w:after="0"/>
      <w:outlineLvl w:val="0"/>
    </w:pPr>
    <w:rPr>
      <w:rFonts w:ascii="Montserrat SemiBold" w:hAnsi="Montserrat SemiBold" w:cs="Arial (Body CS)"/>
      <w:b/>
      <w:color w:val="727174" w:themeColor="text2"/>
      <w:sz w:val="28"/>
      <w14:ligatures w14:val="all"/>
      <w14:cntxtAlts/>
    </w:rPr>
  </w:style>
  <w:style w:type="paragraph" w:styleId="Heading2">
    <w:name w:val="heading 2"/>
    <w:basedOn w:val="Normal"/>
    <w:next w:val="Normal"/>
    <w:link w:val="Heading2Char"/>
    <w:autoRedefine/>
    <w:uiPriority w:val="9"/>
    <w:unhideWhenUsed/>
    <w:qFormat/>
    <w:rsid w:val="00B3728C"/>
    <w:pPr>
      <w:keepNext/>
      <w:keepLines/>
      <w:suppressAutoHyphens/>
      <w:spacing w:before="360" w:after="0"/>
      <w:contextualSpacing/>
      <w:outlineLvl w:val="1"/>
    </w:pPr>
    <w:rPr>
      <w:rFonts w:ascii="Merriweather" w:hAnsi="Merriweather" w:cs="Arial (Body CS)"/>
      <w:b/>
      <w:caps/>
      <w:color w:val="727174" w:themeColor="text2"/>
      <w:spacing w:val="6"/>
      <w:szCs w:val="20"/>
      <w14:ligatures w14:val="all"/>
    </w:rPr>
  </w:style>
  <w:style w:type="paragraph" w:styleId="Heading3">
    <w:name w:val="heading 3"/>
    <w:basedOn w:val="Heading2"/>
    <w:next w:val="Normal"/>
    <w:link w:val="Heading3Char"/>
    <w:uiPriority w:val="9"/>
    <w:unhideWhenUsed/>
    <w:qFormat/>
    <w:rsid w:val="00EF5AD6"/>
    <w:pPr>
      <w:outlineLvl w:val="2"/>
    </w:pPr>
    <w:rPr>
      <w:caps w:val="0"/>
    </w:rPr>
  </w:style>
  <w:style w:type="paragraph" w:styleId="Heading4">
    <w:name w:val="heading 4"/>
    <w:basedOn w:val="Heading3"/>
    <w:next w:val="Normal"/>
    <w:link w:val="Heading4Char"/>
    <w:uiPriority w:val="9"/>
    <w:unhideWhenUsed/>
    <w:qFormat/>
    <w:rsid w:val="00EF5AD6"/>
    <w:pPr>
      <w:outlineLvl w:val="3"/>
    </w:pPr>
    <w:rPr>
      <w:rFonts w:ascii="Montserrat Medium" w:hAnsi="Montserrat Medium"/>
      <w:caps/>
      <w:sz w:val="20"/>
    </w:rPr>
  </w:style>
  <w:style w:type="paragraph" w:styleId="Heading5">
    <w:name w:val="heading 5"/>
    <w:basedOn w:val="Normal"/>
    <w:next w:val="Normal"/>
    <w:link w:val="Heading5Char"/>
    <w:uiPriority w:val="9"/>
    <w:unhideWhenUsed/>
    <w:qFormat/>
    <w:rsid w:val="00372512"/>
    <w:pPr>
      <w:keepNext/>
      <w:keepLines/>
      <w:spacing w:before="40" w:after="0"/>
      <w:outlineLvl w:val="4"/>
    </w:pPr>
    <w:rPr>
      <w:rFonts w:ascii="Montserrat" w:eastAsiaTheme="majorEastAsia" w:hAnsi="Montserrat" w:cstheme="majorBidi"/>
      <w:i/>
      <w:color w:val="152F29" w:themeColor="accent1" w:themeShade="BF"/>
    </w:rPr>
  </w:style>
  <w:style w:type="paragraph" w:styleId="Heading6">
    <w:name w:val="heading 6"/>
    <w:basedOn w:val="Normal"/>
    <w:next w:val="Normal"/>
    <w:link w:val="Heading6Char"/>
    <w:uiPriority w:val="9"/>
    <w:semiHidden/>
    <w:unhideWhenUsed/>
    <w:qFormat/>
    <w:rsid w:val="00B53910"/>
    <w:pPr>
      <w:keepNext/>
      <w:keepLines/>
      <w:spacing w:before="40" w:after="0"/>
      <w:outlineLvl w:val="5"/>
    </w:pPr>
    <w:rPr>
      <w:rFonts w:ascii="Montserrat Light" w:eastAsiaTheme="majorEastAsia" w:hAnsi="Montserrat Light" w:cstheme="majorBidi"/>
      <w:color w:val="0E1F1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B53910"/>
    <w:rPr>
      <w:b/>
      <w:bCs/>
      <w:smallCaps/>
      <w:color w:val="727174" w:themeColor="text2"/>
      <w:spacing w:val="5"/>
    </w:rPr>
  </w:style>
  <w:style w:type="character" w:styleId="BookTitle">
    <w:name w:val="Book Title"/>
    <w:basedOn w:val="DefaultParagraphFont"/>
    <w:uiPriority w:val="33"/>
    <w:qFormat/>
    <w:rsid w:val="00B53910"/>
    <w:rPr>
      <w:b/>
      <w:bCs/>
      <w:i/>
      <w:iCs/>
      <w:color w:val="727174" w:themeColor="text2"/>
      <w:spacing w:val="5"/>
    </w:rPr>
  </w:style>
  <w:style w:type="paragraph" w:customStyle="1" w:styleId="Attribution">
    <w:name w:val="Attribution"/>
    <w:autoRedefine/>
    <w:qFormat/>
    <w:rsid w:val="00EF5AD6"/>
    <w:pPr>
      <w:keepLines/>
      <w:pBdr>
        <w:top w:val="single" w:sz="2" w:space="6" w:color="EF509C" w:themeColor="accent5"/>
      </w:pBdr>
      <w:snapToGrid w:val="0"/>
      <w:spacing w:after="240" w:line="240" w:lineRule="auto"/>
      <w:contextualSpacing/>
      <w:jc w:val="center"/>
    </w:pPr>
    <w:rPr>
      <w:rFonts w:ascii="Montserrat Light" w:hAnsi="Montserrat Light" w:cs="Arial (Body CS)"/>
      <w:iCs/>
      <w:caps/>
      <w:color w:val="727174" w:themeColor="text2"/>
      <w:spacing w:val="40"/>
      <w:sz w:val="16"/>
      <w14:ligatures w14:val="all"/>
      <w14:numForm w14:val="oldStyle"/>
      <w14:numSpacing w14:val="proportional"/>
      <w14:cntxtAlts/>
    </w:rPr>
  </w:style>
  <w:style w:type="character" w:styleId="Hyperlink">
    <w:name w:val="Hyperlink"/>
    <w:basedOn w:val="DefaultParagraphFont"/>
    <w:uiPriority w:val="99"/>
    <w:unhideWhenUsed/>
    <w:rsid w:val="00FD70E2"/>
    <w:rPr>
      <w:color w:val="F48CA3" w:themeColor="hyperlink"/>
      <w:u w:val="single"/>
    </w:rPr>
  </w:style>
  <w:style w:type="table" w:styleId="TableGrid">
    <w:name w:val="Table Grid"/>
    <w:basedOn w:val="TableNormal"/>
    <w:uiPriority w:val="39"/>
    <w:rsid w:val="00720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136B"/>
    <w:pPr>
      <w:numPr>
        <w:numId w:val="1"/>
      </w:numPr>
      <w:contextualSpacing/>
    </w:pPr>
  </w:style>
  <w:style w:type="character" w:customStyle="1" w:styleId="Heading3Char">
    <w:name w:val="Heading 3 Char"/>
    <w:basedOn w:val="DefaultParagraphFont"/>
    <w:link w:val="Heading3"/>
    <w:uiPriority w:val="9"/>
    <w:rsid w:val="00EF5AD6"/>
    <w:rPr>
      <w:rFonts w:ascii="Montserrat SemiBold" w:hAnsi="Montserrat SemiBold" w:cs="Arial (Body CS)"/>
      <w:b/>
      <w:color w:val="727174" w:themeColor="text2"/>
      <w:spacing w:val="6"/>
      <w:szCs w:val="20"/>
      <w14:ligatures w14:val="all"/>
    </w:rPr>
  </w:style>
  <w:style w:type="character" w:customStyle="1" w:styleId="Heading1Char">
    <w:name w:val="Heading 1 Char"/>
    <w:basedOn w:val="DefaultParagraphFont"/>
    <w:link w:val="Heading1"/>
    <w:uiPriority w:val="9"/>
    <w:rsid w:val="00372512"/>
    <w:rPr>
      <w:rFonts w:ascii="Montserrat SemiBold" w:hAnsi="Montserrat SemiBold" w:cs="Arial (Body CS)"/>
      <w:b/>
      <w:color w:val="727174" w:themeColor="text2"/>
      <w:sz w:val="28"/>
      <w14:ligatures w14:val="all"/>
      <w14:cntxtAlts/>
    </w:rPr>
  </w:style>
  <w:style w:type="paragraph" w:styleId="NormalWeb">
    <w:name w:val="Normal (Web)"/>
    <w:basedOn w:val="Normal"/>
    <w:uiPriority w:val="99"/>
    <w:semiHidden/>
    <w:unhideWhenUsed/>
    <w:rsid w:val="006321D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301E8"/>
    <w:rPr>
      <w:color w:val="605E5C"/>
      <w:shd w:val="clear" w:color="auto" w:fill="E1DFDD"/>
    </w:rPr>
  </w:style>
  <w:style w:type="paragraph" w:styleId="Header">
    <w:name w:val="header"/>
    <w:basedOn w:val="Normal"/>
    <w:link w:val="HeaderChar"/>
    <w:uiPriority w:val="99"/>
    <w:unhideWhenUsed/>
    <w:rsid w:val="00A46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81E"/>
  </w:style>
  <w:style w:type="paragraph" w:styleId="Footer">
    <w:name w:val="footer"/>
    <w:basedOn w:val="Normal"/>
    <w:link w:val="FooterChar"/>
    <w:uiPriority w:val="99"/>
    <w:unhideWhenUsed/>
    <w:rsid w:val="00A46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81E"/>
  </w:style>
  <w:style w:type="paragraph" w:styleId="BodyText">
    <w:name w:val="Body Text"/>
    <w:basedOn w:val="Normal"/>
    <w:link w:val="BodyTextChar"/>
    <w:uiPriority w:val="99"/>
    <w:semiHidden/>
    <w:unhideWhenUsed/>
    <w:rsid w:val="00FF36E4"/>
  </w:style>
  <w:style w:type="character" w:customStyle="1" w:styleId="BodyTextChar">
    <w:name w:val="Body Text Char"/>
    <w:basedOn w:val="DefaultParagraphFont"/>
    <w:link w:val="BodyText"/>
    <w:uiPriority w:val="99"/>
    <w:semiHidden/>
    <w:rsid w:val="00FF36E4"/>
  </w:style>
  <w:style w:type="paragraph" w:styleId="BodyText3">
    <w:name w:val="Body Text 3"/>
    <w:basedOn w:val="Normal"/>
    <w:link w:val="BodyText3Char"/>
    <w:rsid w:val="00372512"/>
    <w:pPr>
      <w:spacing w:line="240" w:lineRule="auto"/>
    </w:pPr>
    <w:rPr>
      <w:rFonts w:ascii="Montserrat" w:hAnsi="Montserrat"/>
      <w:sz w:val="16"/>
      <w:szCs w:val="16"/>
    </w:rPr>
  </w:style>
  <w:style w:type="character" w:customStyle="1" w:styleId="BodyText3Char">
    <w:name w:val="Body Text 3 Char"/>
    <w:basedOn w:val="DefaultParagraphFont"/>
    <w:link w:val="BodyText3"/>
    <w:rsid w:val="00372512"/>
    <w:rPr>
      <w:rFonts w:ascii="Montserrat" w:hAnsi="Montserrat"/>
      <w:color w:val="717172"/>
      <w:sz w:val="16"/>
      <w:szCs w:val="16"/>
    </w:rPr>
  </w:style>
  <w:style w:type="paragraph" w:styleId="BalloonText">
    <w:name w:val="Balloon Text"/>
    <w:basedOn w:val="Normal"/>
    <w:link w:val="BalloonTextChar"/>
    <w:uiPriority w:val="99"/>
    <w:semiHidden/>
    <w:unhideWhenUsed/>
    <w:rsid w:val="00561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287"/>
    <w:rPr>
      <w:rFonts w:ascii="Segoe UI" w:hAnsi="Segoe UI" w:cs="Segoe UI"/>
      <w:sz w:val="18"/>
      <w:szCs w:val="18"/>
    </w:rPr>
  </w:style>
  <w:style w:type="character" w:styleId="CommentReference">
    <w:name w:val="annotation reference"/>
    <w:basedOn w:val="DefaultParagraphFont"/>
    <w:uiPriority w:val="99"/>
    <w:semiHidden/>
    <w:unhideWhenUsed/>
    <w:rsid w:val="005956B0"/>
    <w:rPr>
      <w:sz w:val="16"/>
      <w:szCs w:val="16"/>
    </w:rPr>
  </w:style>
  <w:style w:type="paragraph" w:styleId="CommentText">
    <w:name w:val="annotation text"/>
    <w:basedOn w:val="Normal"/>
    <w:link w:val="CommentTextChar"/>
    <w:uiPriority w:val="99"/>
    <w:unhideWhenUsed/>
    <w:rsid w:val="005956B0"/>
    <w:pPr>
      <w:spacing w:line="240" w:lineRule="auto"/>
    </w:pPr>
    <w:rPr>
      <w:sz w:val="20"/>
      <w:szCs w:val="20"/>
    </w:rPr>
  </w:style>
  <w:style w:type="character" w:customStyle="1" w:styleId="CommentTextChar">
    <w:name w:val="Comment Text Char"/>
    <w:basedOn w:val="DefaultParagraphFont"/>
    <w:link w:val="CommentText"/>
    <w:uiPriority w:val="99"/>
    <w:rsid w:val="005956B0"/>
    <w:rPr>
      <w:sz w:val="20"/>
      <w:szCs w:val="20"/>
    </w:rPr>
  </w:style>
  <w:style w:type="paragraph" w:styleId="CommentSubject">
    <w:name w:val="annotation subject"/>
    <w:basedOn w:val="CommentText"/>
    <w:next w:val="CommentText"/>
    <w:link w:val="CommentSubjectChar"/>
    <w:uiPriority w:val="99"/>
    <w:semiHidden/>
    <w:unhideWhenUsed/>
    <w:rsid w:val="005956B0"/>
    <w:rPr>
      <w:b/>
      <w:bCs/>
    </w:rPr>
  </w:style>
  <w:style w:type="character" w:customStyle="1" w:styleId="CommentSubjectChar">
    <w:name w:val="Comment Subject Char"/>
    <w:basedOn w:val="CommentTextChar"/>
    <w:link w:val="CommentSubject"/>
    <w:uiPriority w:val="99"/>
    <w:semiHidden/>
    <w:rsid w:val="005956B0"/>
    <w:rPr>
      <w:b/>
      <w:bCs/>
      <w:sz w:val="20"/>
      <w:szCs w:val="20"/>
    </w:rPr>
  </w:style>
  <w:style w:type="paragraph" w:styleId="Revision">
    <w:name w:val="Revision"/>
    <w:hidden/>
    <w:uiPriority w:val="99"/>
    <w:semiHidden/>
    <w:rsid w:val="00247A36"/>
    <w:pPr>
      <w:spacing w:after="0" w:line="240" w:lineRule="auto"/>
    </w:pPr>
  </w:style>
  <w:style w:type="paragraph" w:customStyle="1" w:styleId="Introduction">
    <w:name w:val="Introduction"/>
    <w:basedOn w:val="Normal"/>
    <w:qFormat/>
    <w:rsid w:val="00372512"/>
    <w:pPr>
      <w:spacing w:before="480" w:after="480"/>
    </w:pPr>
    <w:rPr>
      <w:rFonts w:ascii="Montserrat SemiBold" w:hAnsi="Montserrat SemiBold" w:cs="Arial (Body CS)"/>
      <w:b/>
      <w:bCs/>
      <w:spacing w:val="4"/>
      <w:sz w:val="24"/>
      <w:szCs w:val="24"/>
      <w14:ligatures w14:val="all"/>
    </w:rPr>
  </w:style>
  <w:style w:type="character" w:customStyle="1" w:styleId="FooterLinkPink">
    <w:name w:val="Footer Link Pink"/>
    <w:basedOn w:val="DefaultParagraphFont"/>
    <w:uiPriority w:val="1"/>
    <w:qFormat/>
    <w:rsid w:val="00B030DA"/>
    <w:rPr>
      <w:rFonts w:ascii="Montserrat SemiBold" w:hAnsi="Montserrat SemiBold"/>
      <w:color w:val="DA1472" w:themeColor="accent5" w:themeShade="BF"/>
    </w:rPr>
  </w:style>
  <w:style w:type="paragraph" w:customStyle="1" w:styleId="FooterTextEmphasized">
    <w:name w:val="Footer Text Emphasized"/>
    <w:basedOn w:val="Normal"/>
    <w:qFormat/>
    <w:rsid w:val="00E1136B"/>
    <w:pPr>
      <w:spacing w:after="0"/>
      <w:jc w:val="right"/>
      <w:textAlignment w:val="baseline"/>
    </w:pPr>
    <w:rPr>
      <w:rFonts w:ascii="Montserrat SemiBold" w:hAnsi="Montserrat SemiBold"/>
      <w:color w:val="DA1472" w:themeColor="accent5" w:themeShade="BF"/>
      <w:sz w:val="24"/>
      <w:szCs w:val="24"/>
    </w:rPr>
  </w:style>
  <w:style w:type="paragraph" w:styleId="Title">
    <w:name w:val="Title"/>
    <w:basedOn w:val="Normal"/>
    <w:next w:val="Normal"/>
    <w:link w:val="TitleChar"/>
    <w:uiPriority w:val="10"/>
    <w:qFormat/>
    <w:rsid w:val="00E1136B"/>
    <w:pPr>
      <w:spacing w:before="720" w:after="0" w:line="240" w:lineRule="auto"/>
      <w:textAlignment w:val="baseline"/>
    </w:pPr>
    <w:rPr>
      <w:rFonts w:ascii="Montserrat" w:eastAsia="Times New Roman" w:hAnsi="Montserrat" w:cs="Segoe UI"/>
      <w:b/>
      <w:bCs/>
      <w:color w:val="DA1472" w:themeColor="accent5" w:themeShade="BF"/>
      <w:sz w:val="36"/>
      <w:szCs w:val="36"/>
    </w:rPr>
  </w:style>
  <w:style w:type="character" w:customStyle="1" w:styleId="TitleChar">
    <w:name w:val="Title Char"/>
    <w:basedOn w:val="DefaultParagraphFont"/>
    <w:link w:val="Title"/>
    <w:uiPriority w:val="10"/>
    <w:rsid w:val="00E1136B"/>
    <w:rPr>
      <w:rFonts w:ascii="Montserrat" w:eastAsia="Times New Roman" w:hAnsi="Montserrat" w:cs="Segoe UI"/>
      <w:b/>
      <w:bCs/>
      <w:color w:val="DA1472" w:themeColor="accent5" w:themeShade="BF"/>
      <w:sz w:val="36"/>
      <w:szCs w:val="36"/>
    </w:rPr>
  </w:style>
  <w:style w:type="character" w:customStyle="1" w:styleId="Heading2Char">
    <w:name w:val="Heading 2 Char"/>
    <w:basedOn w:val="DefaultParagraphFont"/>
    <w:link w:val="Heading2"/>
    <w:uiPriority w:val="9"/>
    <w:rsid w:val="00B3728C"/>
    <w:rPr>
      <w:rFonts w:ascii="Merriweather" w:hAnsi="Merriweather" w:cs="Arial (Body CS)"/>
      <w:b/>
      <w:caps/>
      <w:color w:val="727174" w:themeColor="text2"/>
      <w:spacing w:val="6"/>
      <w:szCs w:val="20"/>
      <w14:ligatures w14:val="all"/>
    </w:rPr>
  </w:style>
  <w:style w:type="paragraph" w:styleId="Subtitle">
    <w:name w:val="Subtitle"/>
    <w:basedOn w:val="Normal"/>
    <w:next w:val="Normal"/>
    <w:link w:val="SubtitleChar"/>
    <w:uiPriority w:val="11"/>
    <w:qFormat/>
    <w:rsid w:val="00E1136B"/>
    <w:pPr>
      <w:numPr>
        <w:ilvl w:val="1"/>
      </w:numPr>
      <w:spacing w:after="160"/>
    </w:pPr>
    <w:rPr>
      <w:rFonts w:eastAsiaTheme="minorEastAsia" w:cs="Arial (Body CS)"/>
      <w:color w:val="5A5A5A" w:themeColor="text1" w:themeTint="A5"/>
      <w:spacing w:val="15"/>
      <w:sz w:val="18"/>
    </w:rPr>
  </w:style>
  <w:style w:type="character" w:customStyle="1" w:styleId="SubtitleChar">
    <w:name w:val="Subtitle Char"/>
    <w:basedOn w:val="DefaultParagraphFont"/>
    <w:link w:val="Subtitle"/>
    <w:uiPriority w:val="11"/>
    <w:rsid w:val="00E1136B"/>
    <w:rPr>
      <w:rFonts w:ascii="Georgia" w:eastAsiaTheme="minorEastAsia" w:hAnsi="Georgia" w:cs="Arial (Body CS)"/>
      <w:color w:val="5A5A5A" w:themeColor="text1" w:themeTint="A5"/>
      <w:spacing w:val="15"/>
      <w:sz w:val="18"/>
    </w:rPr>
  </w:style>
  <w:style w:type="character" w:customStyle="1" w:styleId="Heading4Char">
    <w:name w:val="Heading 4 Char"/>
    <w:basedOn w:val="DefaultParagraphFont"/>
    <w:link w:val="Heading4"/>
    <w:uiPriority w:val="9"/>
    <w:rsid w:val="00EF5AD6"/>
    <w:rPr>
      <w:rFonts w:ascii="Montserrat Medium" w:hAnsi="Montserrat Medium" w:cs="Arial (Body CS)"/>
      <w:b/>
      <w:caps/>
      <w:color w:val="727174" w:themeColor="text2"/>
      <w:spacing w:val="6"/>
      <w:sz w:val="20"/>
      <w:szCs w:val="20"/>
      <w14:ligatures w14:val="all"/>
    </w:rPr>
  </w:style>
  <w:style w:type="character" w:customStyle="1" w:styleId="Heading5Char">
    <w:name w:val="Heading 5 Char"/>
    <w:basedOn w:val="DefaultParagraphFont"/>
    <w:link w:val="Heading5"/>
    <w:uiPriority w:val="9"/>
    <w:rsid w:val="00372512"/>
    <w:rPr>
      <w:rFonts w:ascii="Montserrat" w:eastAsiaTheme="majorEastAsia" w:hAnsi="Montserrat" w:cstheme="majorBidi"/>
      <w:i/>
      <w:color w:val="152F29" w:themeColor="accent1" w:themeShade="BF"/>
    </w:rPr>
  </w:style>
  <w:style w:type="character" w:customStyle="1" w:styleId="Heading6Char">
    <w:name w:val="Heading 6 Char"/>
    <w:basedOn w:val="DefaultParagraphFont"/>
    <w:link w:val="Heading6"/>
    <w:uiPriority w:val="9"/>
    <w:semiHidden/>
    <w:rsid w:val="00B53910"/>
    <w:rPr>
      <w:rFonts w:ascii="Montserrat Light" w:eastAsiaTheme="majorEastAsia" w:hAnsi="Montserrat Light" w:cstheme="majorBidi"/>
      <w:color w:val="0E1F1B" w:themeColor="accent1" w:themeShade="7F"/>
    </w:rPr>
  </w:style>
  <w:style w:type="character" w:styleId="SubtleEmphasis">
    <w:name w:val="Subtle Emphasis"/>
    <w:basedOn w:val="DefaultParagraphFont"/>
    <w:uiPriority w:val="19"/>
    <w:qFormat/>
    <w:rsid w:val="00B53910"/>
    <w:rPr>
      <w:rFonts w:ascii="Georgia" w:hAnsi="Georgia"/>
      <w:b w:val="0"/>
      <w:i/>
      <w:iCs/>
      <w:color w:val="404040" w:themeColor="text1" w:themeTint="BF"/>
    </w:rPr>
  </w:style>
  <w:style w:type="character" w:styleId="Emphasis">
    <w:name w:val="Emphasis"/>
    <w:basedOn w:val="DefaultParagraphFont"/>
    <w:uiPriority w:val="20"/>
    <w:qFormat/>
    <w:rsid w:val="00B53910"/>
    <w:rPr>
      <w:rFonts w:ascii="Georgia" w:hAnsi="Georgia"/>
      <w:b w:val="0"/>
      <w:i/>
      <w:iCs/>
      <w:spacing w:val="4"/>
      <w:u w:val="single"/>
    </w:rPr>
  </w:style>
  <w:style w:type="character" w:styleId="IntenseEmphasis">
    <w:name w:val="Intense Emphasis"/>
    <w:basedOn w:val="DefaultParagraphFont"/>
    <w:uiPriority w:val="21"/>
    <w:qFormat/>
    <w:rsid w:val="00B53910"/>
    <w:rPr>
      <w:rFonts w:ascii="Georgia" w:hAnsi="Georgia"/>
      <w:b/>
      <w:i/>
      <w:iCs/>
      <w:color w:val="727174" w:themeColor="text2"/>
      <w:spacing w:val="0"/>
      <w:u w:val="none"/>
    </w:rPr>
  </w:style>
  <w:style w:type="character" w:styleId="Strong">
    <w:name w:val="Strong"/>
    <w:basedOn w:val="DefaultParagraphFont"/>
    <w:uiPriority w:val="22"/>
    <w:qFormat/>
    <w:rsid w:val="00B53910"/>
    <w:rPr>
      <w:b/>
      <w:bCs/>
    </w:rPr>
  </w:style>
  <w:style w:type="paragraph" w:styleId="Quote">
    <w:name w:val="Quote"/>
    <w:basedOn w:val="Normal"/>
    <w:next w:val="Attribution"/>
    <w:link w:val="QuoteChar"/>
    <w:uiPriority w:val="29"/>
    <w:qFormat/>
    <w:rsid w:val="00EF5AD6"/>
    <w:pPr>
      <w:keepNext/>
      <w:keepLines/>
      <w:spacing w:before="480" w:after="0"/>
      <w:ind w:left="720" w:right="864"/>
      <w:jc w:val="center"/>
    </w:pPr>
    <w:rPr>
      <w:rFonts w:cs="Arial (Body CS)"/>
      <w:iCs/>
      <w:color w:val="727174" w:themeColor="text2"/>
      <w:sz w:val="28"/>
      <w14:ligatures w14:val="all"/>
      <w14:numForm w14:val="oldStyle"/>
      <w14:numSpacing w14:val="proportional"/>
      <w14:cntxtAlts/>
    </w:rPr>
  </w:style>
  <w:style w:type="character" w:customStyle="1" w:styleId="QuoteChar">
    <w:name w:val="Quote Char"/>
    <w:basedOn w:val="DefaultParagraphFont"/>
    <w:link w:val="Quote"/>
    <w:uiPriority w:val="29"/>
    <w:rsid w:val="00EF5AD6"/>
    <w:rPr>
      <w:rFonts w:ascii="Georgia" w:hAnsi="Georgia" w:cs="Arial (Body CS)"/>
      <w:iCs/>
      <w:color w:val="727174" w:themeColor="text2"/>
      <w:sz w:val="28"/>
      <w14:ligatures w14:val="all"/>
      <w14:numForm w14:val="oldStyle"/>
      <w14:numSpacing w14:val="proportional"/>
      <w14:cntxtAlts/>
    </w:rPr>
  </w:style>
  <w:style w:type="paragraph" w:styleId="IntenseQuote">
    <w:name w:val="Intense Quote"/>
    <w:basedOn w:val="Quote"/>
    <w:next w:val="Normal"/>
    <w:link w:val="IntenseQuoteChar"/>
    <w:uiPriority w:val="30"/>
    <w:qFormat/>
    <w:rsid w:val="00EF5AD6"/>
    <w:pPr>
      <w:suppressAutoHyphens/>
      <w:spacing w:before="240" w:after="120"/>
    </w:pPr>
    <w:rPr>
      <w:b/>
    </w:rPr>
  </w:style>
  <w:style w:type="character" w:customStyle="1" w:styleId="IntenseQuoteChar">
    <w:name w:val="Intense Quote Char"/>
    <w:basedOn w:val="DefaultParagraphFont"/>
    <w:link w:val="IntenseQuote"/>
    <w:uiPriority w:val="30"/>
    <w:rsid w:val="00EF5AD6"/>
    <w:rPr>
      <w:rFonts w:ascii="Georgia" w:hAnsi="Georgia" w:cs="Arial (Body CS)"/>
      <w:b/>
      <w:iCs/>
      <w:color w:val="727174" w:themeColor="text2"/>
      <w:sz w:val="28"/>
      <w14:ligatures w14:val="all"/>
      <w14:numForm w14:val="oldStyle"/>
      <w14:numSpacing w14:val="proportional"/>
      <w14:cntxtAlts/>
    </w:rPr>
  </w:style>
  <w:style w:type="character" w:styleId="SubtleReference">
    <w:name w:val="Subtle Reference"/>
    <w:basedOn w:val="DefaultParagraphFont"/>
    <w:uiPriority w:val="31"/>
    <w:qFormat/>
    <w:rsid w:val="00B53910"/>
    <w:rPr>
      <w:smallCaps/>
      <w:color w:val="5A5A5A" w:themeColor="text1" w:themeTint="A5"/>
    </w:rPr>
  </w:style>
  <w:style w:type="paragraph" w:customStyle="1" w:styleId="SansSerif">
    <w:name w:val="Sans Serif"/>
    <w:basedOn w:val="Normal"/>
    <w:rsid w:val="009E2357"/>
    <w:pPr>
      <w:spacing w:after="160" w:line="252" w:lineRule="auto"/>
      <w:jc w:val="both"/>
    </w:pPr>
    <w:rPr>
      <w:rFonts w:ascii="Arial" w:eastAsiaTheme="minorEastAsia" w:hAnsi="Arial" w:cstheme="minorHAnsi"/>
      <w:color w:val="auto"/>
      <w:sz w:val="20"/>
    </w:rPr>
  </w:style>
  <w:style w:type="paragraph" w:customStyle="1" w:styleId="Default">
    <w:name w:val="Default"/>
    <w:rsid w:val="009E2357"/>
    <w:pPr>
      <w:widowControl w:val="0"/>
      <w:autoSpaceDE w:val="0"/>
      <w:autoSpaceDN w:val="0"/>
      <w:adjustRightInd w:val="0"/>
      <w:spacing w:after="160" w:line="252" w:lineRule="auto"/>
      <w:jc w:val="both"/>
    </w:pPr>
    <w:rPr>
      <w:rFonts w:ascii="Arial" w:eastAsiaTheme="minorEastAsia" w:hAnsi="Arial" w:cs="Arial"/>
      <w:color w:val="000000"/>
      <w:sz w:val="24"/>
      <w:szCs w:val="24"/>
    </w:rPr>
  </w:style>
  <w:style w:type="paragraph" w:customStyle="1" w:styleId="CM14">
    <w:name w:val="CM14"/>
    <w:basedOn w:val="Default"/>
    <w:next w:val="Default"/>
    <w:uiPriority w:val="99"/>
    <w:rsid w:val="009E2357"/>
    <w:rPr>
      <w:color w:val="auto"/>
    </w:rPr>
  </w:style>
  <w:style w:type="paragraph" w:customStyle="1" w:styleId="CM16">
    <w:name w:val="CM16"/>
    <w:basedOn w:val="Default"/>
    <w:next w:val="Default"/>
    <w:uiPriority w:val="99"/>
    <w:rsid w:val="009E2357"/>
    <w:rPr>
      <w:color w:val="auto"/>
    </w:rPr>
  </w:style>
  <w:style w:type="paragraph" w:customStyle="1" w:styleId="CM2">
    <w:name w:val="CM2"/>
    <w:basedOn w:val="Default"/>
    <w:next w:val="Default"/>
    <w:uiPriority w:val="99"/>
    <w:rsid w:val="009E2357"/>
    <w:pPr>
      <w:spacing w:line="248" w:lineRule="atLeast"/>
    </w:pPr>
    <w:rPr>
      <w:color w:val="auto"/>
    </w:rPr>
  </w:style>
  <w:style w:type="paragraph" w:customStyle="1" w:styleId="CM15">
    <w:name w:val="CM15"/>
    <w:basedOn w:val="Default"/>
    <w:next w:val="Default"/>
    <w:uiPriority w:val="99"/>
    <w:rsid w:val="009E2357"/>
    <w:rPr>
      <w:color w:val="auto"/>
    </w:rPr>
  </w:style>
  <w:style w:type="paragraph" w:customStyle="1" w:styleId="CM6">
    <w:name w:val="CM6"/>
    <w:basedOn w:val="Default"/>
    <w:next w:val="Default"/>
    <w:uiPriority w:val="99"/>
    <w:rsid w:val="009E2357"/>
    <w:pPr>
      <w:spacing w:line="251" w:lineRule="atLeast"/>
    </w:pPr>
    <w:rPr>
      <w:color w:val="auto"/>
    </w:rPr>
  </w:style>
  <w:style w:type="paragraph" w:customStyle="1" w:styleId="CM17">
    <w:name w:val="CM17"/>
    <w:basedOn w:val="Default"/>
    <w:next w:val="Default"/>
    <w:uiPriority w:val="99"/>
    <w:rsid w:val="009E2357"/>
    <w:rPr>
      <w:color w:val="auto"/>
    </w:rPr>
  </w:style>
  <w:style w:type="paragraph" w:customStyle="1" w:styleId="ArtsMidwestHeading">
    <w:name w:val="Arts Midwest Heading"/>
    <w:basedOn w:val="Normal"/>
    <w:link w:val="ArtsMidwestHeadingChar"/>
    <w:qFormat/>
    <w:rsid w:val="009E2357"/>
    <w:pPr>
      <w:spacing w:after="160" w:line="252" w:lineRule="auto"/>
      <w:jc w:val="both"/>
    </w:pPr>
    <w:rPr>
      <w:rFonts w:asciiTheme="majorHAnsi" w:eastAsiaTheme="minorEastAsia" w:hAnsiTheme="majorHAnsi"/>
      <w:b/>
      <w:color w:val="EF509C"/>
      <w:sz w:val="48"/>
    </w:rPr>
  </w:style>
  <w:style w:type="character" w:customStyle="1" w:styleId="ArtsMidwestHeadingChar">
    <w:name w:val="Arts Midwest Heading Char"/>
    <w:basedOn w:val="DefaultParagraphFont"/>
    <w:link w:val="ArtsMidwestHeading"/>
    <w:rsid w:val="009E2357"/>
    <w:rPr>
      <w:rFonts w:asciiTheme="majorHAnsi" w:eastAsiaTheme="minorEastAsia" w:hAnsiTheme="majorHAnsi"/>
      <w:b/>
      <w:color w:val="EF509C"/>
      <w:sz w:val="48"/>
    </w:rPr>
  </w:style>
  <w:style w:type="paragraph" w:styleId="NoSpacing">
    <w:name w:val="No Spacing"/>
    <w:uiPriority w:val="1"/>
    <w:qFormat/>
    <w:rsid w:val="009E2357"/>
    <w:pPr>
      <w:spacing w:after="0" w:line="240" w:lineRule="auto"/>
    </w:pPr>
    <w:rPr>
      <w:rFonts w:ascii="Georgia" w:hAnsi="Georgia"/>
      <w:color w:val="717172"/>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7723">
      <w:bodyDiv w:val="1"/>
      <w:marLeft w:val="0"/>
      <w:marRight w:val="0"/>
      <w:marTop w:val="0"/>
      <w:marBottom w:val="0"/>
      <w:divBdr>
        <w:top w:val="none" w:sz="0" w:space="0" w:color="auto"/>
        <w:left w:val="none" w:sz="0" w:space="0" w:color="auto"/>
        <w:bottom w:val="none" w:sz="0" w:space="0" w:color="auto"/>
        <w:right w:val="none" w:sz="0" w:space="0" w:color="auto"/>
      </w:divBdr>
    </w:div>
    <w:div w:id="78066315">
      <w:bodyDiv w:val="1"/>
      <w:marLeft w:val="0"/>
      <w:marRight w:val="0"/>
      <w:marTop w:val="0"/>
      <w:marBottom w:val="0"/>
      <w:divBdr>
        <w:top w:val="none" w:sz="0" w:space="0" w:color="auto"/>
        <w:left w:val="none" w:sz="0" w:space="0" w:color="auto"/>
        <w:bottom w:val="none" w:sz="0" w:space="0" w:color="auto"/>
        <w:right w:val="none" w:sz="0" w:space="0" w:color="auto"/>
      </w:divBdr>
    </w:div>
    <w:div w:id="471480564">
      <w:bodyDiv w:val="1"/>
      <w:marLeft w:val="0"/>
      <w:marRight w:val="0"/>
      <w:marTop w:val="0"/>
      <w:marBottom w:val="0"/>
      <w:divBdr>
        <w:top w:val="none" w:sz="0" w:space="0" w:color="auto"/>
        <w:left w:val="none" w:sz="0" w:space="0" w:color="auto"/>
        <w:bottom w:val="none" w:sz="0" w:space="0" w:color="auto"/>
        <w:right w:val="none" w:sz="0" w:space="0" w:color="auto"/>
      </w:divBdr>
    </w:div>
    <w:div w:id="507911865">
      <w:bodyDiv w:val="1"/>
      <w:marLeft w:val="0"/>
      <w:marRight w:val="0"/>
      <w:marTop w:val="0"/>
      <w:marBottom w:val="0"/>
      <w:divBdr>
        <w:top w:val="none" w:sz="0" w:space="0" w:color="auto"/>
        <w:left w:val="none" w:sz="0" w:space="0" w:color="auto"/>
        <w:bottom w:val="none" w:sz="0" w:space="0" w:color="auto"/>
        <w:right w:val="none" w:sz="0" w:space="0" w:color="auto"/>
      </w:divBdr>
      <w:divsChild>
        <w:div w:id="41951982">
          <w:marLeft w:val="0"/>
          <w:marRight w:val="0"/>
          <w:marTop w:val="0"/>
          <w:marBottom w:val="0"/>
          <w:divBdr>
            <w:top w:val="none" w:sz="0" w:space="0" w:color="auto"/>
            <w:left w:val="none" w:sz="0" w:space="0" w:color="auto"/>
            <w:bottom w:val="none" w:sz="0" w:space="0" w:color="auto"/>
            <w:right w:val="none" w:sz="0" w:space="0" w:color="auto"/>
          </w:divBdr>
          <w:divsChild>
            <w:div w:id="1572887215">
              <w:marLeft w:val="-75"/>
              <w:marRight w:val="0"/>
              <w:marTop w:val="30"/>
              <w:marBottom w:val="30"/>
              <w:divBdr>
                <w:top w:val="none" w:sz="0" w:space="0" w:color="auto"/>
                <w:left w:val="none" w:sz="0" w:space="0" w:color="auto"/>
                <w:bottom w:val="none" w:sz="0" w:space="0" w:color="auto"/>
                <w:right w:val="none" w:sz="0" w:space="0" w:color="auto"/>
              </w:divBdr>
              <w:divsChild>
                <w:div w:id="336737119">
                  <w:marLeft w:val="0"/>
                  <w:marRight w:val="0"/>
                  <w:marTop w:val="0"/>
                  <w:marBottom w:val="0"/>
                  <w:divBdr>
                    <w:top w:val="none" w:sz="0" w:space="0" w:color="auto"/>
                    <w:left w:val="none" w:sz="0" w:space="0" w:color="auto"/>
                    <w:bottom w:val="none" w:sz="0" w:space="0" w:color="auto"/>
                    <w:right w:val="none" w:sz="0" w:space="0" w:color="auto"/>
                  </w:divBdr>
                  <w:divsChild>
                    <w:div w:id="210387403">
                      <w:marLeft w:val="0"/>
                      <w:marRight w:val="0"/>
                      <w:marTop w:val="0"/>
                      <w:marBottom w:val="0"/>
                      <w:divBdr>
                        <w:top w:val="none" w:sz="0" w:space="0" w:color="auto"/>
                        <w:left w:val="none" w:sz="0" w:space="0" w:color="auto"/>
                        <w:bottom w:val="none" w:sz="0" w:space="0" w:color="auto"/>
                        <w:right w:val="none" w:sz="0" w:space="0" w:color="auto"/>
                      </w:divBdr>
                    </w:div>
                  </w:divsChild>
                </w:div>
                <w:div w:id="1292635642">
                  <w:marLeft w:val="0"/>
                  <w:marRight w:val="0"/>
                  <w:marTop w:val="0"/>
                  <w:marBottom w:val="0"/>
                  <w:divBdr>
                    <w:top w:val="none" w:sz="0" w:space="0" w:color="auto"/>
                    <w:left w:val="none" w:sz="0" w:space="0" w:color="auto"/>
                    <w:bottom w:val="none" w:sz="0" w:space="0" w:color="auto"/>
                    <w:right w:val="none" w:sz="0" w:space="0" w:color="auto"/>
                  </w:divBdr>
                  <w:divsChild>
                    <w:div w:id="1795709146">
                      <w:marLeft w:val="0"/>
                      <w:marRight w:val="0"/>
                      <w:marTop w:val="0"/>
                      <w:marBottom w:val="0"/>
                      <w:divBdr>
                        <w:top w:val="none" w:sz="0" w:space="0" w:color="auto"/>
                        <w:left w:val="none" w:sz="0" w:space="0" w:color="auto"/>
                        <w:bottom w:val="none" w:sz="0" w:space="0" w:color="auto"/>
                        <w:right w:val="none" w:sz="0" w:space="0" w:color="auto"/>
                      </w:divBdr>
                    </w:div>
                  </w:divsChild>
                </w:div>
                <w:div w:id="1381200241">
                  <w:marLeft w:val="0"/>
                  <w:marRight w:val="0"/>
                  <w:marTop w:val="0"/>
                  <w:marBottom w:val="0"/>
                  <w:divBdr>
                    <w:top w:val="none" w:sz="0" w:space="0" w:color="auto"/>
                    <w:left w:val="none" w:sz="0" w:space="0" w:color="auto"/>
                    <w:bottom w:val="none" w:sz="0" w:space="0" w:color="auto"/>
                    <w:right w:val="none" w:sz="0" w:space="0" w:color="auto"/>
                  </w:divBdr>
                  <w:divsChild>
                    <w:div w:id="944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4362">
          <w:marLeft w:val="0"/>
          <w:marRight w:val="0"/>
          <w:marTop w:val="0"/>
          <w:marBottom w:val="0"/>
          <w:divBdr>
            <w:top w:val="none" w:sz="0" w:space="0" w:color="auto"/>
            <w:left w:val="none" w:sz="0" w:space="0" w:color="auto"/>
            <w:bottom w:val="none" w:sz="0" w:space="0" w:color="auto"/>
            <w:right w:val="none" w:sz="0" w:space="0" w:color="auto"/>
          </w:divBdr>
          <w:divsChild>
            <w:div w:id="1583562780">
              <w:marLeft w:val="-75"/>
              <w:marRight w:val="0"/>
              <w:marTop w:val="30"/>
              <w:marBottom w:val="30"/>
              <w:divBdr>
                <w:top w:val="none" w:sz="0" w:space="0" w:color="auto"/>
                <w:left w:val="none" w:sz="0" w:space="0" w:color="auto"/>
                <w:bottom w:val="none" w:sz="0" w:space="0" w:color="auto"/>
                <w:right w:val="none" w:sz="0" w:space="0" w:color="auto"/>
              </w:divBdr>
              <w:divsChild>
                <w:div w:id="10571877">
                  <w:marLeft w:val="0"/>
                  <w:marRight w:val="0"/>
                  <w:marTop w:val="0"/>
                  <w:marBottom w:val="0"/>
                  <w:divBdr>
                    <w:top w:val="none" w:sz="0" w:space="0" w:color="auto"/>
                    <w:left w:val="none" w:sz="0" w:space="0" w:color="auto"/>
                    <w:bottom w:val="none" w:sz="0" w:space="0" w:color="auto"/>
                    <w:right w:val="none" w:sz="0" w:space="0" w:color="auto"/>
                  </w:divBdr>
                  <w:divsChild>
                    <w:div w:id="460996422">
                      <w:marLeft w:val="0"/>
                      <w:marRight w:val="0"/>
                      <w:marTop w:val="0"/>
                      <w:marBottom w:val="0"/>
                      <w:divBdr>
                        <w:top w:val="none" w:sz="0" w:space="0" w:color="auto"/>
                        <w:left w:val="none" w:sz="0" w:space="0" w:color="auto"/>
                        <w:bottom w:val="none" w:sz="0" w:space="0" w:color="auto"/>
                        <w:right w:val="none" w:sz="0" w:space="0" w:color="auto"/>
                      </w:divBdr>
                    </w:div>
                  </w:divsChild>
                </w:div>
                <w:div w:id="22678186">
                  <w:marLeft w:val="0"/>
                  <w:marRight w:val="0"/>
                  <w:marTop w:val="0"/>
                  <w:marBottom w:val="0"/>
                  <w:divBdr>
                    <w:top w:val="none" w:sz="0" w:space="0" w:color="auto"/>
                    <w:left w:val="none" w:sz="0" w:space="0" w:color="auto"/>
                    <w:bottom w:val="none" w:sz="0" w:space="0" w:color="auto"/>
                    <w:right w:val="none" w:sz="0" w:space="0" w:color="auto"/>
                  </w:divBdr>
                  <w:divsChild>
                    <w:div w:id="1787232796">
                      <w:marLeft w:val="0"/>
                      <w:marRight w:val="0"/>
                      <w:marTop w:val="0"/>
                      <w:marBottom w:val="0"/>
                      <w:divBdr>
                        <w:top w:val="none" w:sz="0" w:space="0" w:color="auto"/>
                        <w:left w:val="none" w:sz="0" w:space="0" w:color="auto"/>
                        <w:bottom w:val="none" w:sz="0" w:space="0" w:color="auto"/>
                        <w:right w:val="none" w:sz="0" w:space="0" w:color="auto"/>
                      </w:divBdr>
                    </w:div>
                  </w:divsChild>
                </w:div>
                <w:div w:id="27339589">
                  <w:marLeft w:val="0"/>
                  <w:marRight w:val="0"/>
                  <w:marTop w:val="0"/>
                  <w:marBottom w:val="0"/>
                  <w:divBdr>
                    <w:top w:val="none" w:sz="0" w:space="0" w:color="auto"/>
                    <w:left w:val="none" w:sz="0" w:space="0" w:color="auto"/>
                    <w:bottom w:val="none" w:sz="0" w:space="0" w:color="auto"/>
                    <w:right w:val="none" w:sz="0" w:space="0" w:color="auto"/>
                  </w:divBdr>
                  <w:divsChild>
                    <w:div w:id="30611504">
                      <w:marLeft w:val="0"/>
                      <w:marRight w:val="0"/>
                      <w:marTop w:val="0"/>
                      <w:marBottom w:val="0"/>
                      <w:divBdr>
                        <w:top w:val="none" w:sz="0" w:space="0" w:color="auto"/>
                        <w:left w:val="none" w:sz="0" w:space="0" w:color="auto"/>
                        <w:bottom w:val="none" w:sz="0" w:space="0" w:color="auto"/>
                        <w:right w:val="none" w:sz="0" w:space="0" w:color="auto"/>
                      </w:divBdr>
                    </w:div>
                  </w:divsChild>
                </w:div>
                <w:div w:id="67768606">
                  <w:marLeft w:val="0"/>
                  <w:marRight w:val="0"/>
                  <w:marTop w:val="0"/>
                  <w:marBottom w:val="0"/>
                  <w:divBdr>
                    <w:top w:val="none" w:sz="0" w:space="0" w:color="auto"/>
                    <w:left w:val="none" w:sz="0" w:space="0" w:color="auto"/>
                    <w:bottom w:val="none" w:sz="0" w:space="0" w:color="auto"/>
                    <w:right w:val="none" w:sz="0" w:space="0" w:color="auto"/>
                  </w:divBdr>
                  <w:divsChild>
                    <w:div w:id="376972324">
                      <w:marLeft w:val="0"/>
                      <w:marRight w:val="0"/>
                      <w:marTop w:val="0"/>
                      <w:marBottom w:val="0"/>
                      <w:divBdr>
                        <w:top w:val="none" w:sz="0" w:space="0" w:color="auto"/>
                        <w:left w:val="none" w:sz="0" w:space="0" w:color="auto"/>
                        <w:bottom w:val="none" w:sz="0" w:space="0" w:color="auto"/>
                        <w:right w:val="none" w:sz="0" w:space="0" w:color="auto"/>
                      </w:divBdr>
                    </w:div>
                  </w:divsChild>
                </w:div>
                <w:div w:id="81807237">
                  <w:marLeft w:val="0"/>
                  <w:marRight w:val="0"/>
                  <w:marTop w:val="0"/>
                  <w:marBottom w:val="0"/>
                  <w:divBdr>
                    <w:top w:val="none" w:sz="0" w:space="0" w:color="auto"/>
                    <w:left w:val="none" w:sz="0" w:space="0" w:color="auto"/>
                    <w:bottom w:val="none" w:sz="0" w:space="0" w:color="auto"/>
                    <w:right w:val="none" w:sz="0" w:space="0" w:color="auto"/>
                  </w:divBdr>
                  <w:divsChild>
                    <w:div w:id="370959123">
                      <w:marLeft w:val="0"/>
                      <w:marRight w:val="0"/>
                      <w:marTop w:val="0"/>
                      <w:marBottom w:val="0"/>
                      <w:divBdr>
                        <w:top w:val="none" w:sz="0" w:space="0" w:color="auto"/>
                        <w:left w:val="none" w:sz="0" w:space="0" w:color="auto"/>
                        <w:bottom w:val="none" w:sz="0" w:space="0" w:color="auto"/>
                        <w:right w:val="none" w:sz="0" w:space="0" w:color="auto"/>
                      </w:divBdr>
                    </w:div>
                  </w:divsChild>
                </w:div>
                <w:div w:id="121266070">
                  <w:marLeft w:val="0"/>
                  <w:marRight w:val="0"/>
                  <w:marTop w:val="0"/>
                  <w:marBottom w:val="0"/>
                  <w:divBdr>
                    <w:top w:val="none" w:sz="0" w:space="0" w:color="auto"/>
                    <w:left w:val="none" w:sz="0" w:space="0" w:color="auto"/>
                    <w:bottom w:val="none" w:sz="0" w:space="0" w:color="auto"/>
                    <w:right w:val="none" w:sz="0" w:space="0" w:color="auto"/>
                  </w:divBdr>
                  <w:divsChild>
                    <w:div w:id="1344628737">
                      <w:marLeft w:val="0"/>
                      <w:marRight w:val="0"/>
                      <w:marTop w:val="0"/>
                      <w:marBottom w:val="0"/>
                      <w:divBdr>
                        <w:top w:val="none" w:sz="0" w:space="0" w:color="auto"/>
                        <w:left w:val="none" w:sz="0" w:space="0" w:color="auto"/>
                        <w:bottom w:val="none" w:sz="0" w:space="0" w:color="auto"/>
                        <w:right w:val="none" w:sz="0" w:space="0" w:color="auto"/>
                      </w:divBdr>
                    </w:div>
                  </w:divsChild>
                </w:div>
                <w:div w:id="130220261">
                  <w:marLeft w:val="0"/>
                  <w:marRight w:val="0"/>
                  <w:marTop w:val="0"/>
                  <w:marBottom w:val="0"/>
                  <w:divBdr>
                    <w:top w:val="none" w:sz="0" w:space="0" w:color="auto"/>
                    <w:left w:val="none" w:sz="0" w:space="0" w:color="auto"/>
                    <w:bottom w:val="none" w:sz="0" w:space="0" w:color="auto"/>
                    <w:right w:val="none" w:sz="0" w:space="0" w:color="auto"/>
                  </w:divBdr>
                  <w:divsChild>
                    <w:div w:id="1852328962">
                      <w:marLeft w:val="0"/>
                      <w:marRight w:val="0"/>
                      <w:marTop w:val="0"/>
                      <w:marBottom w:val="0"/>
                      <w:divBdr>
                        <w:top w:val="none" w:sz="0" w:space="0" w:color="auto"/>
                        <w:left w:val="none" w:sz="0" w:space="0" w:color="auto"/>
                        <w:bottom w:val="none" w:sz="0" w:space="0" w:color="auto"/>
                        <w:right w:val="none" w:sz="0" w:space="0" w:color="auto"/>
                      </w:divBdr>
                    </w:div>
                  </w:divsChild>
                </w:div>
                <w:div w:id="278146158">
                  <w:marLeft w:val="0"/>
                  <w:marRight w:val="0"/>
                  <w:marTop w:val="0"/>
                  <w:marBottom w:val="0"/>
                  <w:divBdr>
                    <w:top w:val="none" w:sz="0" w:space="0" w:color="auto"/>
                    <w:left w:val="none" w:sz="0" w:space="0" w:color="auto"/>
                    <w:bottom w:val="none" w:sz="0" w:space="0" w:color="auto"/>
                    <w:right w:val="none" w:sz="0" w:space="0" w:color="auto"/>
                  </w:divBdr>
                  <w:divsChild>
                    <w:div w:id="1955674947">
                      <w:marLeft w:val="0"/>
                      <w:marRight w:val="0"/>
                      <w:marTop w:val="0"/>
                      <w:marBottom w:val="0"/>
                      <w:divBdr>
                        <w:top w:val="none" w:sz="0" w:space="0" w:color="auto"/>
                        <w:left w:val="none" w:sz="0" w:space="0" w:color="auto"/>
                        <w:bottom w:val="none" w:sz="0" w:space="0" w:color="auto"/>
                        <w:right w:val="none" w:sz="0" w:space="0" w:color="auto"/>
                      </w:divBdr>
                    </w:div>
                  </w:divsChild>
                </w:div>
                <w:div w:id="394205175">
                  <w:marLeft w:val="0"/>
                  <w:marRight w:val="0"/>
                  <w:marTop w:val="0"/>
                  <w:marBottom w:val="0"/>
                  <w:divBdr>
                    <w:top w:val="none" w:sz="0" w:space="0" w:color="auto"/>
                    <w:left w:val="none" w:sz="0" w:space="0" w:color="auto"/>
                    <w:bottom w:val="none" w:sz="0" w:space="0" w:color="auto"/>
                    <w:right w:val="none" w:sz="0" w:space="0" w:color="auto"/>
                  </w:divBdr>
                  <w:divsChild>
                    <w:div w:id="1698695723">
                      <w:marLeft w:val="0"/>
                      <w:marRight w:val="0"/>
                      <w:marTop w:val="0"/>
                      <w:marBottom w:val="0"/>
                      <w:divBdr>
                        <w:top w:val="none" w:sz="0" w:space="0" w:color="auto"/>
                        <w:left w:val="none" w:sz="0" w:space="0" w:color="auto"/>
                        <w:bottom w:val="none" w:sz="0" w:space="0" w:color="auto"/>
                        <w:right w:val="none" w:sz="0" w:space="0" w:color="auto"/>
                      </w:divBdr>
                    </w:div>
                  </w:divsChild>
                </w:div>
                <w:div w:id="447628030">
                  <w:marLeft w:val="0"/>
                  <w:marRight w:val="0"/>
                  <w:marTop w:val="0"/>
                  <w:marBottom w:val="0"/>
                  <w:divBdr>
                    <w:top w:val="none" w:sz="0" w:space="0" w:color="auto"/>
                    <w:left w:val="none" w:sz="0" w:space="0" w:color="auto"/>
                    <w:bottom w:val="none" w:sz="0" w:space="0" w:color="auto"/>
                    <w:right w:val="none" w:sz="0" w:space="0" w:color="auto"/>
                  </w:divBdr>
                  <w:divsChild>
                    <w:div w:id="923223786">
                      <w:marLeft w:val="0"/>
                      <w:marRight w:val="0"/>
                      <w:marTop w:val="0"/>
                      <w:marBottom w:val="0"/>
                      <w:divBdr>
                        <w:top w:val="none" w:sz="0" w:space="0" w:color="auto"/>
                        <w:left w:val="none" w:sz="0" w:space="0" w:color="auto"/>
                        <w:bottom w:val="none" w:sz="0" w:space="0" w:color="auto"/>
                        <w:right w:val="none" w:sz="0" w:space="0" w:color="auto"/>
                      </w:divBdr>
                    </w:div>
                  </w:divsChild>
                </w:div>
                <w:div w:id="757019102">
                  <w:marLeft w:val="0"/>
                  <w:marRight w:val="0"/>
                  <w:marTop w:val="0"/>
                  <w:marBottom w:val="0"/>
                  <w:divBdr>
                    <w:top w:val="none" w:sz="0" w:space="0" w:color="auto"/>
                    <w:left w:val="none" w:sz="0" w:space="0" w:color="auto"/>
                    <w:bottom w:val="none" w:sz="0" w:space="0" w:color="auto"/>
                    <w:right w:val="none" w:sz="0" w:space="0" w:color="auto"/>
                  </w:divBdr>
                  <w:divsChild>
                    <w:div w:id="312025582">
                      <w:marLeft w:val="0"/>
                      <w:marRight w:val="0"/>
                      <w:marTop w:val="0"/>
                      <w:marBottom w:val="0"/>
                      <w:divBdr>
                        <w:top w:val="none" w:sz="0" w:space="0" w:color="auto"/>
                        <w:left w:val="none" w:sz="0" w:space="0" w:color="auto"/>
                        <w:bottom w:val="none" w:sz="0" w:space="0" w:color="auto"/>
                        <w:right w:val="none" w:sz="0" w:space="0" w:color="auto"/>
                      </w:divBdr>
                    </w:div>
                  </w:divsChild>
                </w:div>
                <w:div w:id="764500535">
                  <w:marLeft w:val="0"/>
                  <w:marRight w:val="0"/>
                  <w:marTop w:val="0"/>
                  <w:marBottom w:val="0"/>
                  <w:divBdr>
                    <w:top w:val="none" w:sz="0" w:space="0" w:color="auto"/>
                    <w:left w:val="none" w:sz="0" w:space="0" w:color="auto"/>
                    <w:bottom w:val="none" w:sz="0" w:space="0" w:color="auto"/>
                    <w:right w:val="none" w:sz="0" w:space="0" w:color="auto"/>
                  </w:divBdr>
                  <w:divsChild>
                    <w:div w:id="1065569470">
                      <w:marLeft w:val="0"/>
                      <w:marRight w:val="0"/>
                      <w:marTop w:val="0"/>
                      <w:marBottom w:val="0"/>
                      <w:divBdr>
                        <w:top w:val="none" w:sz="0" w:space="0" w:color="auto"/>
                        <w:left w:val="none" w:sz="0" w:space="0" w:color="auto"/>
                        <w:bottom w:val="none" w:sz="0" w:space="0" w:color="auto"/>
                        <w:right w:val="none" w:sz="0" w:space="0" w:color="auto"/>
                      </w:divBdr>
                    </w:div>
                  </w:divsChild>
                </w:div>
                <w:div w:id="864441317">
                  <w:marLeft w:val="0"/>
                  <w:marRight w:val="0"/>
                  <w:marTop w:val="0"/>
                  <w:marBottom w:val="0"/>
                  <w:divBdr>
                    <w:top w:val="none" w:sz="0" w:space="0" w:color="auto"/>
                    <w:left w:val="none" w:sz="0" w:space="0" w:color="auto"/>
                    <w:bottom w:val="none" w:sz="0" w:space="0" w:color="auto"/>
                    <w:right w:val="none" w:sz="0" w:space="0" w:color="auto"/>
                  </w:divBdr>
                  <w:divsChild>
                    <w:div w:id="425545071">
                      <w:marLeft w:val="0"/>
                      <w:marRight w:val="0"/>
                      <w:marTop w:val="0"/>
                      <w:marBottom w:val="0"/>
                      <w:divBdr>
                        <w:top w:val="none" w:sz="0" w:space="0" w:color="auto"/>
                        <w:left w:val="none" w:sz="0" w:space="0" w:color="auto"/>
                        <w:bottom w:val="none" w:sz="0" w:space="0" w:color="auto"/>
                        <w:right w:val="none" w:sz="0" w:space="0" w:color="auto"/>
                      </w:divBdr>
                    </w:div>
                  </w:divsChild>
                </w:div>
                <w:div w:id="884829091">
                  <w:marLeft w:val="0"/>
                  <w:marRight w:val="0"/>
                  <w:marTop w:val="0"/>
                  <w:marBottom w:val="0"/>
                  <w:divBdr>
                    <w:top w:val="none" w:sz="0" w:space="0" w:color="auto"/>
                    <w:left w:val="none" w:sz="0" w:space="0" w:color="auto"/>
                    <w:bottom w:val="none" w:sz="0" w:space="0" w:color="auto"/>
                    <w:right w:val="none" w:sz="0" w:space="0" w:color="auto"/>
                  </w:divBdr>
                  <w:divsChild>
                    <w:div w:id="1817990989">
                      <w:marLeft w:val="0"/>
                      <w:marRight w:val="0"/>
                      <w:marTop w:val="0"/>
                      <w:marBottom w:val="0"/>
                      <w:divBdr>
                        <w:top w:val="none" w:sz="0" w:space="0" w:color="auto"/>
                        <w:left w:val="none" w:sz="0" w:space="0" w:color="auto"/>
                        <w:bottom w:val="none" w:sz="0" w:space="0" w:color="auto"/>
                        <w:right w:val="none" w:sz="0" w:space="0" w:color="auto"/>
                      </w:divBdr>
                    </w:div>
                  </w:divsChild>
                </w:div>
                <w:div w:id="1274558848">
                  <w:marLeft w:val="0"/>
                  <w:marRight w:val="0"/>
                  <w:marTop w:val="0"/>
                  <w:marBottom w:val="0"/>
                  <w:divBdr>
                    <w:top w:val="none" w:sz="0" w:space="0" w:color="auto"/>
                    <w:left w:val="none" w:sz="0" w:space="0" w:color="auto"/>
                    <w:bottom w:val="none" w:sz="0" w:space="0" w:color="auto"/>
                    <w:right w:val="none" w:sz="0" w:space="0" w:color="auto"/>
                  </w:divBdr>
                  <w:divsChild>
                    <w:div w:id="262494032">
                      <w:marLeft w:val="0"/>
                      <w:marRight w:val="0"/>
                      <w:marTop w:val="0"/>
                      <w:marBottom w:val="0"/>
                      <w:divBdr>
                        <w:top w:val="none" w:sz="0" w:space="0" w:color="auto"/>
                        <w:left w:val="none" w:sz="0" w:space="0" w:color="auto"/>
                        <w:bottom w:val="none" w:sz="0" w:space="0" w:color="auto"/>
                        <w:right w:val="none" w:sz="0" w:space="0" w:color="auto"/>
                      </w:divBdr>
                    </w:div>
                  </w:divsChild>
                </w:div>
                <w:div w:id="1276327746">
                  <w:marLeft w:val="0"/>
                  <w:marRight w:val="0"/>
                  <w:marTop w:val="0"/>
                  <w:marBottom w:val="0"/>
                  <w:divBdr>
                    <w:top w:val="none" w:sz="0" w:space="0" w:color="auto"/>
                    <w:left w:val="none" w:sz="0" w:space="0" w:color="auto"/>
                    <w:bottom w:val="none" w:sz="0" w:space="0" w:color="auto"/>
                    <w:right w:val="none" w:sz="0" w:space="0" w:color="auto"/>
                  </w:divBdr>
                  <w:divsChild>
                    <w:div w:id="1591742697">
                      <w:marLeft w:val="0"/>
                      <w:marRight w:val="0"/>
                      <w:marTop w:val="0"/>
                      <w:marBottom w:val="0"/>
                      <w:divBdr>
                        <w:top w:val="none" w:sz="0" w:space="0" w:color="auto"/>
                        <w:left w:val="none" w:sz="0" w:space="0" w:color="auto"/>
                        <w:bottom w:val="none" w:sz="0" w:space="0" w:color="auto"/>
                        <w:right w:val="none" w:sz="0" w:space="0" w:color="auto"/>
                      </w:divBdr>
                    </w:div>
                  </w:divsChild>
                </w:div>
                <w:div w:id="1304892525">
                  <w:marLeft w:val="0"/>
                  <w:marRight w:val="0"/>
                  <w:marTop w:val="0"/>
                  <w:marBottom w:val="0"/>
                  <w:divBdr>
                    <w:top w:val="none" w:sz="0" w:space="0" w:color="auto"/>
                    <w:left w:val="none" w:sz="0" w:space="0" w:color="auto"/>
                    <w:bottom w:val="none" w:sz="0" w:space="0" w:color="auto"/>
                    <w:right w:val="none" w:sz="0" w:space="0" w:color="auto"/>
                  </w:divBdr>
                  <w:divsChild>
                    <w:div w:id="1662350026">
                      <w:marLeft w:val="0"/>
                      <w:marRight w:val="0"/>
                      <w:marTop w:val="0"/>
                      <w:marBottom w:val="0"/>
                      <w:divBdr>
                        <w:top w:val="none" w:sz="0" w:space="0" w:color="auto"/>
                        <w:left w:val="none" w:sz="0" w:space="0" w:color="auto"/>
                        <w:bottom w:val="none" w:sz="0" w:space="0" w:color="auto"/>
                        <w:right w:val="none" w:sz="0" w:space="0" w:color="auto"/>
                      </w:divBdr>
                    </w:div>
                  </w:divsChild>
                </w:div>
                <w:div w:id="1454321101">
                  <w:marLeft w:val="0"/>
                  <w:marRight w:val="0"/>
                  <w:marTop w:val="0"/>
                  <w:marBottom w:val="0"/>
                  <w:divBdr>
                    <w:top w:val="none" w:sz="0" w:space="0" w:color="auto"/>
                    <w:left w:val="none" w:sz="0" w:space="0" w:color="auto"/>
                    <w:bottom w:val="none" w:sz="0" w:space="0" w:color="auto"/>
                    <w:right w:val="none" w:sz="0" w:space="0" w:color="auto"/>
                  </w:divBdr>
                  <w:divsChild>
                    <w:div w:id="356662759">
                      <w:marLeft w:val="0"/>
                      <w:marRight w:val="0"/>
                      <w:marTop w:val="0"/>
                      <w:marBottom w:val="0"/>
                      <w:divBdr>
                        <w:top w:val="none" w:sz="0" w:space="0" w:color="auto"/>
                        <w:left w:val="none" w:sz="0" w:space="0" w:color="auto"/>
                        <w:bottom w:val="none" w:sz="0" w:space="0" w:color="auto"/>
                        <w:right w:val="none" w:sz="0" w:space="0" w:color="auto"/>
                      </w:divBdr>
                    </w:div>
                  </w:divsChild>
                </w:div>
                <w:div w:id="1607083227">
                  <w:marLeft w:val="0"/>
                  <w:marRight w:val="0"/>
                  <w:marTop w:val="0"/>
                  <w:marBottom w:val="0"/>
                  <w:divBdr>
                    <w:top w:val="none" w:sz="0" w:space="0" w:color="auto"/>
                    <w:left w:val="none" w:sz="0" w:space="0" w:color="auto"/>
                    <w:bottom w:val="none" w:sz="0" w:space="0" w:color="auto"/>
                    <w:right w:val="none" w:sz="0" w:space="0" w:color="auto"/>
                  </w:divBdr>
                  <w:divsChild>
                    <w:div w:id="862397902">
                      <w:marLeft w:val="0"/>
                      <w:marRight w:val="0"/>
                      <w:marTop w:val="0"/>
                      <w:marBottom w:val="0"/>
                      <w:divBdr>
                        <w:top w:val="none" w:sz="0" w:space="0" w:color="auto"/>
                        <w:left w:val="none" w:sz="0" w:space="0" w:color="auto"/>
                        <w:bottom w:val="none" w:sz="0" w:space="0" w:color="auto"/>
                        <w:right w:val="none" w:sz="0" w:space="0" w:color="auto"/>
                      </w:divBdr>
                    </w:div>
                  </w:divsChild>
                </w:div>
                <w:div w:id="2031292379">
                  <w:marLeft w:val="0"/>
                  <w:marRight w:val="0"/>
                  <w:marTop w:val="0"/>
                  <w:marBottom w:val="0"/>
                  <w:divBdr>
                    <w:top w:val="none" w:sz="0" w:space="0" w:color="auto"/>
                    <w:left w:val="none" w:sz="0" w:space="0" w:color="auto"/>
                    <w:bottom w:val="none" w:sz="0" w:space="0" w:color="auto"/>
                    <w:right w:val="none" w:sz="0" w:space="0" w:color="auto"/>
                  </w:divBdr>
                  <w:divsChild>
                    <w:div w:id="709651230">
                      <w:marLeft w:val="0"/>
                      <w:marRight w:val="0"/>
                      <w:marTop w:val="0"/>
                      <w:marBottom w:val="0"/>
                      <w:divBdr>
                        <w:top w:val="none" w:sz="0" w:space="0" w:color="auto"/>
                        <w:left w:val="none" w:sz="0" w:space="0" w:color="auto"/>
                        <w:bottom w:val="none" w:sz="0" w:space="0" w:color="auto"/>
                        <w:right w:val="none" w:sz="0" w:space="0" w:color="auto"/>
                      </w:divBdr>
                    </w:div>
                  </w:divsChild>
                </w:div>
                <w:div w:id="2061249851">
                  <w:marLeft w:val="0"/>
                  <w:marRight w:val="0"/>
                  <w:marTop w:val="0"/>
                  <w:marBottom w:val="0"/>
                  <w:divBdr>
                    <w:top w:val="none" w:sz="0" w:space="0" w:color="auto"/>
                    <w:left w:val="none" w:sz="0" w:space="0" w:color="auto"/>
                    <w:bottom w:val="none" w:sz="0" w:space="0" w:color="auto"/>
                    <w:right w:val="none" w:sz="0" w:space="0" w:color="auto"/>
                  </w:divBdr>
                  <w:divsChild>
                    <w:div w:id="12859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5601">
          <w:marLeft w:val="0"/>
          <w:marRight w:val="0"/>
          <w:marTop w:val="0"/>
          <w:marBottom w:val="0"/>
          <w:divBdr>
            <w:top w:val="none" w:sz="0" w:space="0" w:color="auto"/>
            <w:left w:val="none" w:sz="0" w:space="0" w:color="auto"/>
            <w:bottom w:val="none" w:sz="0" w:space="0" w:color="auto"/>
            <w:right w:val="none" w:sz="0" w:space="0" w:color="auto"/>
          </w:divBdr>
        </w:div>
        <w:div w:id="431318088">
          <w:marLeft w:val="0"/>
          <w:marRight w:val="0"/>
          <w:marTop w:val="0"/>
          <w:marBottom w:val="0"/>
          <w:divBdr>
            <w:top w:val="none" w:sz="0" w:space="0" w:color="auto"/>
            <w:left w:val="none" w:sz="0" w:space="0" w:color="auto"/>
            <w:bottom w:val="none" w:sz="0" w:space="0" w:color="auto"/>
            <w:right w:val="none" w:sz="0" w:space="0" w:color="auto"/>
          </w:divBdr>
        </w:div>
        <w:div w:id="501504898">
          <w:marLeft w:val="0"/>
          <w:marRight w:val="0"/>
          <w:marTop w:val="0"/>
          <w:marBottom w:val="0"/>
          <w:divBdr>
            <w:top w:val="none" w:sz="0" w:space="0" w:color="auto"/>
            <w:left w:val="none" w:sz="0" w:space="0" w:color="auto"/>
            <w:bottom w:val="none" w:sz="0" w:space="0" w:color="auto"/>
            <w:right w:val="none" w:sz="0" w:space="0" w:color="auto"/>
          </w:divBdr>
          <w:divsChild>
            <w:div w:id="1491142744">
              <w:marLeft w:val="-75"/>
              <w:marRight w:val="0"/>
              <w:marTop w:val="30"/>
              <w:marBottom w:val="30"/>
              <w:divBdr>
                <w:top w:val="none" w:sz="0" w:space="0" w:color="auto"/>
                <w:left w:val="none" w:sz="0" w:space="0" w:color="auto"/>
                <w:bottom w:val="none" w:sz="0" w:space="0" w:color="auto"/>
                <w:right w:val="none" w:sz="0" w:space="0" w:color="auto"/>
              </w:divBdr>
              <w:divsChild>
                <w:div w:id="538399948">
                  <w:marLeft w:val="0"/>
                  <w:marRight w:val="0"/>
                  <w:marTop w:val="0"/>
                  <w:marBottom w:val="0"/>
                  <w:divBdr>
                    <w:top w:val="none" w:sz="0" w:space="0" w:color="auto"/>
                    <w:left w:val="none" w:sz="0" w:space="0" w:color="auto"/>
                    <w:bottom w:val="none" w:sz="0" w:space="0" w:color="auto"/>
                    <w:right w:val="none" w:sz="0" w:space="0" w:color="auto"/>
                  </w:divBdr>
                  <w:divsChild>
                    <w:div w:id="1424836227">
                      <w:marLeft w:val="0"/>
                      <w:marRight w:val="0"/>
                      <w:marTop w:val="0"/>
                      <w:marBottom w:val="0"/>
                      <w:divBdr>
                        <w:top w:val="none" w:sz="0" w:space="0" w:color="auto"/>
                        <w:left w:val="none" w:sz="0" w:space="0" w:color="auto"/>
                        <w:bottom w:val="none" w:sz="0" w:space="0" w:color="auto"/>
                        <w:right w:val="none" w:sz="0" w:space="0" w:color="auto"/>
                      </w:divBdr>
                    </w:div>
                  </w:divsChild>
                </w:div>
                <w:div w:id="1162623095">
                  <w:marLeft w:val="0"/>
                  <w:marRight w:val="0"/>
                  <w:marTop w:val="0"/>
                  <w:marBottom w:val="0"/>
                  <w:divBdr>
                    <w:top w:val="none" w:sz="0" w:space="0" w:color="auto"/>
                    <w:left w:val="none" w:sz="0" w:space="0" w:color="auto"/>
                    <w:bottom w:val="none" w:sz="0" w:space="0" w:color="auto"/>
                    <w:right w:val="none" w:sz="0" w:space="0" w:color="auto"/>
                  </w:divBdr>
                  <w:divsChild>
                    <w:div w:id="1869952846">
                      <w:marLeft w:val="0"/>
                      <w:marRight w:val="0"/>
                      <w:marTop w:val="0"/>
                      <w:marBottom w:val="0"/>
                      <w:divBdr>
                        <w:top w:val="none" w:sz="0" w:space="0" w:color="auto"/>
                        <w:left w:val="none" w:sz="0" w:space="0" w:color="auto"/>
                        <w:bottom w:val="none" w:sz="0" w:space="0" w:color="auto"/>
                        <w:right w:val="none" w:sz="0" w:space="0" w:color="auto"/>
                      </w:divBdr>
                    </w:div>
                  </w:divsChild>
                </w:div>
                <w:div w:id="1486121918">
                  <w:marLeft w:val="0"/>
                  <w:marRight w:val="0"/>
                  <w:marTop w:val="0"/>
                  <w:marBottom w:val="0"/>
                  <w:divBdr>
                    <w:top w:val="none" w:sz="0" w:space="0" w:color="auto"/>
                    <w:left w:val="none" w:sz="0" w:space="0" w:color="auto"/>
                    <w:bottom w:val="none" w:sz="0" w:space="0" w:color="auto"/>
                    <w:right w:val="none" w:sz="0" w:space="0" w:color="auto"/>
                  </w:divBdr>
                  <w:divsChild>
                    <w:div w:id="19458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7677">
          <w:marLeft w:val="0"/>
          <w:marRight w:val="0"/>
          <w:marTop w:val="0"/>
          <w:marBottom w:val="0"/>
          <w:divBdr>
            <w:top w:val="none" w:sz="0" w:space="0" w:color="auto"/>
            <w:left w:val="none" w:sz="0" w:space="0" w:color="auto"/>
            <w:bottom w:val="none" w:sz="0" w:space="0" w:color="auto"/>
            <w:right w:val="none" w:sz="0" w:space="0" w:color="auto"/>
          </w:divBdr>
          <w:divsChild>
            <w:div w:id="1323506153">
              <w:marLeft w:val="-75"/>
              <w:marRight w:val="0"/>
              <w:marTop w:val="30"/>
              <w:marBottom w:val="30"/>
              <w:divBdr>
                <w:top w:val="none" w:sz="0" w:space="0" w:color="auto"/>
                <w:left w:val="none" w:sz="0" w:space="0" w:color="auto"/>
                <w:bottom w:val="none" w:sz="0" w:space="0" w:color="auto"/>
                <w:right w:val="none" w:sz="0" w:space="0" w:color="auto"/>
              </w:divBdr>
              <w:divsChild>
                <w:div w:id="135803594">
                  <w:marLeft w:val="0"/>
                  <w:marRight w:val="0"/>
                  <w:marTop w:val="0"/>
                  <w:marBottom w:val="0"/>
                  <w:divBdr>
                    <w:top w:val="none" w:sz="0" w:space="0" w:color="auto"/>
                    <w:left w:val="none" w:sz="0" w:space="0" w:color="auto"/>
                    <w:bottom w:val="none" w:sz="0" w:space="0" w:color="auto"/>
                    <w:right w:val="none" w:sz="0" w:space="0" w:color="auto"/>
                  </w:divBdr>
                  <w:divsChild>
                    <w:div w:id="174081736">
                      <w:marLeft w:val="0"/>
                      <w:marRight w:val="0"/>
                      <w:marTop w:val="0"/>
                      <w:marBottom w:val="0"/>
                      <w:divBdr>
                        <w:top w:val="none" w:sz="0" w:space="0" w:color="auto"/>
                        <w:left w:val="none" w:sz="0" w:space="0" w:color="auto"/>
                        <w:bottom w:val="none" w:sz="0" w:space="0" w:color="auto"/>
                        <w:right w:val="none" w:sz="0" w:space="0" w:color="auto"/>
                      </w:divBdr>
                    </w:div>
                  </w:divsChild>
                </w:div>
                <w:div w:id="420833616">
                  <w:marLeft w:val="0"/>
                  <w:marRight w:val="0"/>
                  <w:marTop w:val="0"/>
                  <w:marBottom w:val="0"/>
                  <w:divBdr>
                    <w:top w:val="none" w:sz="0" w:space="0" w:color="auto"/>
                    <w:left w:val="none" w:sz="0" w:space="0" w:color="auto"/>
                    <w:bottom w:val="none" w:sz="0" w:space="0" w:color="auto"/>
                    <w:right w:val="none" w:sz="0" w:space="0" w:color="auto"/>
                  </w:divBdr>
                  <w:divsChild>
                    <w:div w:id="1591691800">
                      <w:marLeft w:val="0"/>
                      <w:marRight w:val="0"/>
                      <w:marTop w:val="0"/>
                      <w:marBottom w:val="0"/>
                      <w:divBdr>
                        <w:top w:val="none" w:sz="0" w:space="0" w:color="auto"/>
                        <w:left w:val="none" w:sz="0" w:space="0" w:color="auto"/>
                        <w:bottom w:val="none" w:sz="0" w:space="0" w:color="auto"/>
                        <w:right w:val="none" w:sz="0" w:space="0" w:color="auto"/>
                      </w:divBdr>
                    </w:div>
                  </w:divsChild>
                </w:div>
                <w:div w:id="422343763">
                  <w:marLeft w:val="0"/>
                  <w:marRight w:val="0"/>
                  <w:marTop w:val="0"/>
                  <w:marBottom w:val="0"/>
                  <w:divBdr>
                    <w:top w:val="none" w:sz="0" w:space="0" w:color="auto"/>
                    <w:left w:val="none" w:sz="0" w:space="0" w:color="auto"/>
                    <w:bottom w:val="none" w:sz="0" w:space="0" w:color="auto"/>
                    <w:right w:val="none" w:sz="0" w:space="0" w:color="auto"/>
                  </w:divBdr>
                  <w:divsChild>
                    <w:div w:id="46344135">
                      <w:marLeft w:val="0"/>
                      <w:marRight w:val="0"/>
                      <w:marTop w:val="0"/>
                      <w:marBottom w:val="0"/>
                      <w:divBdr>
                        <w:top w:val="none" w:sz="0" w:space="0" w:color="auto"/>
                        <w:left w:val="none" w:sz="0" w:space="0" w:color="auto"/>
                        <w:bottom w:val="none" w:sz="0" w:space="0" w:color="auto"/>
                        <w:right w:val="none" w:sz="0" w:space="0" w:color="auto"/>
                      </w:divBdr>
                    </w:div>
                  </w:divsChild>
                </w:div>
                <w:div w:id="1098869463">
                  <w:marLeft w:val="0"/>
                  <w:marRight w:val="0"/>
                  <w:marTop w:val="0"/>
                  <w:marBottom w:val="0"/>
                  <w:divBdr>
                    <w:top w:val="none" w:sz="0" w:space="0" w:color="auto"/>
                    <w:left w:val="none" w:sz="0" w:space="0" w:color="auto"/>
                    <w:bottom w:val="none" w:sz="0" w:space="0" w:color="auto"/>
                    <w:right w:val="none" w:sz="0" w:space="0" w:color="auto"/>
                  </w:divBdr>
                  <w:divsChild>
                    <w:div w:id="314799154">
                      <w:marLeft w:val="0"/>
                      <w:marRight w:val="0"/>
                      <w:marTop w:val="0"/>
                      <w:marBottom w:val="0"/>
                      <w:divBdr>
                        <w:top w:val="none" w:sz="0" w:space="0" w:color="auto"/>
                        <w:left w:val="none" w:sz="0" w:space="0" w:color="auto"/>
                        <w:bottom w:val="none" w:sz="0" w:space="0" w:color="auto"/>
                        <w:right w:val="none" w:sz="0" w:space="0" w:color="auto"/>
                      </w:divBdr>
                    </w:div>
                  </w:divsChild>
                </w:div>
                <w:div w:id="1293555333">
                  <w:marLeft w:val="0"/>
                  <w:marRight w:val="0"/>
                  <w:marTop w:val="0"/>
                  <w:marBottom w:val="0"/>
                  <w:divBdr>
                    <w:top w:val="none" w:sz="0" w:space="0" w:color="auto"/>
                    <w:left w:val="none" w:sz="0" w:space="0" w:color="auto"/>
                    <w:bottom w:val="none" w:sz="0" w:space="0" w:color="auto"/>
                    <w:right w:val="none" w:sz="0" w:space="0" w:color="auto"/>
                  </w:divBdr>
                  <w:divsChild>
                    <w:div w:id="142745894">
                      <w:marLeft w:val="0"/>
                      <w:marRight w:val="0"/>
                      <w:marTop w:val="0"/>
                      <w:marBottom w:val="0"/>
                      <w:divBdr>
                        <w:top w:val="none" w:sz="0" w:space="0" w:color="auto"/>
                        <w:left w:val="none" w:sz="0" w:space="0" w:color="auto"/>
                        <w:bottom w:val="none" w:sz="0" w:space="0" w:color="auto"/>
                        <w:right w:val="none" w:sz="0" w:space="0" w:color="auto"/>
                      </w:divBdr>
                    </w:div>
                  </w:divsChild>
                </w:div>
                <w:div w:id="1336542583">
                  <w:marLeft w:val="0"/>
                  <w:marRight w:val="0"/>
                  <w:marTop w:val="0"/>
                  <w:marBottom w:val="0"/>
                  <w:divBdr>
                    <w:top w:val="none" w:sz="0" w:space="0" w:color="auto"/>
                    <w:left w:val="none" w:sz="0" w:space="0" w:color="auto"/>
                    <w:bottom w:val="none" w:sz="0" w:space="0" w:color="auto"/>
                    <w:right w:val="none" w:sz="0" w:space="0" w:color="auto"/>
                  </w:divBdr>
                  <w:divsChild>
                    <w:div w:id="903953941">
                      <w:marLeft w:val="0"/>
                      <w:marRight w:val="0"/>
                      <w:marTop w:val="0"/>
                      <w:marBottom w:val="0"/>
                      <w:divBdr>
                        <w:top w:val="none" w:sz="0" w:space="0" w:color="auto"/>
                        <w:left w:val="none" w:sz="0" w:space="0" w:color="auto"/>
                        <w:bottom w:val="none" w:sz="0" w:space="0" w:color="auto"/>
                        <w:right w:val="none" w:sz="0" w:space="0" w:color="auto"/>
                      </w:divBdr>
                    </w:div>
                  </w:divsChild>
                </w:div>
                <w:div w:id="1775199643">
                  <w:marLeft w:val="0"/>
                  <w:marRight w:val="0"/>
                  <w:marTop w:val="0"/>
                  <w:marBottom w:val="0"/>
                  <w:divBdr>
                    <w:top w:val="none" w:sz="0" w:space="0" w:color="auto"/>
                    <w:left w:val="none" w:sz="0" w:space="0" w:color="auto"/>
                    <w:bottom w:val="none" w:sz="0" w:space="0" w:color="auto"/>
                    <w:right w:val="none" w:sz="0" w:space="0" w:color="auto"/>
                  </w:divBdr>
                  <w:divsChild>
                    <w:div w:id="1488746807">
                      <w:marLeft w:val="0"/>
                      <w:marRight w:val="0"/>
                      <w:marTop w:val="0"/>
                      <w:marBottom w:val="0"/>
                      <w:divBdr>
                        <w:top w:val="none" w:sz="0" w:space="0" w:color="auto"/>
                        <w:left w:val="none" w:sz="0" w:space="0" w:color="auto"/>
                        <w:bottom w:val="none" w:sz="0" w:space="0" w:color="auto"/>
                        <w:right w:val="none" w:sz="0" w:space="0" w:color="auto"/>
                      </w:divBdr>
                    </w:div>
                  </w:divsChild>
                </w:div>
                <w:div w:id="1813403482">
                  <w:marLeft w:val="0"/>
                  <w:marRight w:val="0"/>
                  <w:marTop w:val="0"/>
                  <w:marBottom w:val="0"/>
                  <w:divBdr>
                    <w:top w:val="none" w:sz="0" w:space="0" w:color="auto"/>
                    <w:left w:val="none" w:sz="0" w:space="0" w:color="auto"/>
                    <w:bottom w:val="none" w:sz="0" w:space="0" w:color="auto"/>
                    <w:right w:val="none" w:sz="0" w:space="0" w:color="auto"/>
                  </w:divBdr>
                  <w:divsChild>
                    <w:div w:id="1160803919">
                      <w:marLeft w:val="0"/>
                      <w:marRight w:val="0"/>
                      <w:marTop w:val="0"/>
                      <w:marBottom w:val="0"/>
                      <w:divBdr>
                        <w:top w:val="none" w:sz="0" w:space="0" w:color="auto"/>
                        <w:left w:val="none" w:sz="0" w:space="0" w:color="auto"/>
                        <w:bottom w:val="none" w:sz="0" w:space="0" w:color="auto"/>
                        <w:right w:val="none" w:sz="0" w:space="0" w:color="auto"/>
                      </w:divBdr>
                    </w:div>
                  </w:divsChild>
                </w:div>
                <w:div w:id="1882860714">
                  <w:marLeft w:val="0"/>
                  <w:marRight w:val="0"/>
                  <w:marTop w:val="0"/>
                  <w:marBottom w:val="0"/>
                  <w:divBdr>
                    <w:top w:val="none" w:sz="0" w:space="0" w:color="auto"/>
                    <w:left w:val="none" w:sz="0" w:space="0" w:color="auto"/>
                    <w:bottom w:val="none" w:sz="0" w:space="0" w:color="auto"/>
                    <w:right w:val="none" w:sz="0" w:space="0" w:color="auto"/>
                  </w:divBdr>
                  <w:divsChild>
                    <w:div w:id="72498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2869">
          <w:marLeft w:val="0"/>
          <w:marRight w:val="0"/>
          <w:marTop w:val="0"/>
          <w:marBottom w:val="0"/>
          <w:divBdr>
            <w:top w:val="none" w:sz="0" w:space="0" w:color="auto"/>
            <w:left w:val="none" w:sz="0" w:space="0" w:color="auto"/>
            <w:bottom w:val="none" w:sz="0" w:space="0" w:color="auto"/>
            <w:right w:val="none" w:sz="0" w:space="0" w:color="auto"/>
          </w:divBdr>
        </w:div>
        <w:div w:id="594435333">
          <w:marLeft w:val="0"/>
          <w:marRight w:val="0"/>
          <w:marTop w:val="0"/>
          <w:marBottom w:val="0"/>
          <w:divBdr>
            <w:top w:val="none" w:sz="0" w:space="0" w:color="auto"/>
            <w:left w:val="none" w:sz="0" w:space="0" w:color="auto"/>
            <w:bottom w:val="none" w:sz="0" w:space="0" w:color="auto"/>
            <w:right w:val="none" w:sz="0" w:space="0" w:color="auto"/>
          </w:divBdr>
        </w:div>
        <w:div w:id="606549245">
          <w:marLeft w:val="0"/>
          <w:marRight w:val="0"/>
          <w:marTop w:val="0"/>
          <w:marBottom w:val="0"/>
          <w:divBdr>
            <w:top w:val="none" w:sz="0" w:space="0" w:color="auto"/>
            <w:left w:val="none" w:sz="0" w:space="0" w:color="auto"/>
            <w:bottom w:val="none" w:sz="0" w:space="0" w:color="auto"/>
            <w:right w:val="none" w:sz="0" w:space="0" w:color="auto"/>
          </w:divBdr>
        </w:div>
        <w:div w:id="950937204">
          <w:marLeft w:val="0"/>
          <w:marRight w:val="0"/>
          <w:marTop w:val="0"/>
          <w:marBottom w:val="0"/>
          <w:divBdr>
            <w:top w:val="none" w:sz="0" w:space="0" w:color="auto"/>
            <w:left w:val="none" w:sz="0" w:space="0" w:color="auto"/>
            <w:bottom w:val="none" w:sz="0" w:space="0" w:color="auto"/>
            <w:right w:val="none" w:sz="0" w:space="0" w:color="auto"/>
          </w:divBdr>
        </w:div>
        <w:div w:id="997540207">
          <w:marLeft w:val="0"/>
          <w:marRight w:val="0"/>
          <w:marTop w:val="0"/>
          <w:marBottom w:val="0"/>
          <w:divBdr>
            <w:top w:val="none" w:sz="0" w:space="0" w:color="auto"/>
            <w:left w:val="none" w:sz="0" w:space="0" w:color="auto"/>
            <w:bottom w:val="none" w:sz="0" w:space="0" w:color="auto"/>
            <w:right w:val="none" w:sz="0" w:space="0" w:color="auto"/>
          </w:divBdr>
        </w:div>
        <w:div w:id="1170097737">
          <w:marLeft w:val="0"/>
          <w:marRight w:val="0"/>
          <w:marTop w:val="0"/>
          <w:marBottom w:val="0"/>
          <w:divBdr>
            <w:top w:val="none" w:sz="0" w:space="0" w:color="auto"/>
            <w:left w:val="none" w:sz="0" w:space="0" w:color="auto"/>
            <w:bottom w:val="none" w:sz="0" w:space="0" w:color="auto"/>
            <w:right w:val="none" w:sz="0" w:space="0" w:color="auto"/>
          </w:divBdr>
        </w:div>
        <w:div w:id="1231772697">
          <w:marLeft w:val="0"/>
          <w:marRight w:val="0"/>
          <w:marTop w:val="0"/>
          <w:marBottom w:val="0"/>
          <w:divBdr>
            <w:top w:val="none" w:sz="0" w:space="0" w:color="auto"/>
            <w:left w:val="none" w:sz="0" w:space="0" w:color="auto"/>
            <w:bottom w:val="none" w:sz="0" w:space="0" w:color="auto"/>
            <w:right w:val="none" w:sz="0" w:space="0" w:color="auto"/>
          </w:divBdr>
          <w:divsChild>
            <w:div w:id="477041263">
              <w:marLeft w:val="-75"/>
              <w:marRight w:val="0"/>
              <w:marTop w:val="30"/>
              <w:marBottom w:val="30"/>
              <w:divBdr>
                <w:top w:val="none" w:sz="0" w:space="0" w:color="auto"/>
                <w:left w:val="none" w:sz="0" w:space="0" w:color="auto"/>
                <w:bottom w:val="none" w:sz="0" w:space="0" w:color="auto"/>
                <w:right w:val="none" w:sz="0" w:space="0" w:color="auto"/>
              </w:divBdr>
              <w:divsChild>
                <w:div w:id="45881730">
                  <w:marLeft w:val="0"/>
                  <w:marRight w:val="0"/>
                  <w:marTop w:val="0"/>
                  <w:marBottom w:val="0"/>
                  <w:divBdr>
                    <w:top w:val="none" w:sz="0" w:space="0" w:color="auto"/>
                    <w:left w:val="none" w:sz="0" w:space="0" w:color="auto"/>
                    <w:bottom w:val="none" w:sz="0" w:space="0" w:color="auto"/>
                    <w:right w:val="none" w:sz="0" w:space="0" w:color="auto"/>
                  </w:divBdr>
                  <w:divsChild>
                    <w:div w:id="523902404">
                      <w:marLeft w:val="0"/>
                      <w:marRight w:val="0"/>
                      <w:marTop w:val="0"/>
                      <w:marBottom w:val="0"/>
                      <w:divBdr>
                        <w:top w:val="none" w:sz="0" w:space="0" w:color="auto"/>
                        <w:left w:val="none" w:sz="0" w:space="0" w:color="auto"/>
                        <w:bottom w:val="none" w:sz="0" w:space="0" w:color="auto"/>
                        <w:right w:val="none" w:sz="0" w:space="0" w:color="auto"/>
                      </w:divBdr>
                    </w:div>
                  </w:divsChild>
                </w:div>
                <w:div w:id="247614680">
                  <w:marLeft w:val="0"/>
                  <w:marRight w:val="0"/>
                  <w:marTop w:val="0"/>
                  <w:marBottom w:val="0"/>
                  <w:divBdr>
                    <w:top w:val="none" w:sz="0" w:space="0" w:color="auto"/>
                    <w:left w:val="none" w:sz="0" w:space="0" w:color="auto"/>
                    <w:bottom w:val="none" w:sz="0" w:space="0" w:color="auto"/>
                    <w:right w:val="none" w:sz="0" w:space="0" w:color="auto"/>
                  </w:divBdr>
                  <w:divsChild>
                    <w:div w:id="639190775">
                      <w:marLeft w:val="0"/>
                      <w:marRight w:val="0"/>
                      <w:marTop w:val="0"/>
                      <w:marBottom w:val="0"/>
                      <w:divBdr>
                        <w:top w:val="none" w:sz="0" w:space="0" w:color="auto"/>
                        <w:left w:val="none" w:sz="0" w:space="0" w:color="auto"/>
                        <w:bottom w:val="none" w:sz="0" w:space="0" w:color="auto"/>
                        <w:right w:val="none" w:sz="0" w:space="0" w:color="auto"/>
                      </w:divBdr>
                    </w:div>
                  </w:divsChild>
                </w:div>
                <w:div w:id="387343376">
                  <w:marLeft w:val="0"/>
                  <w:marRight w:val="0"/>
                  <w:marTop w:val="0"/>
                  <w:marBottom w:val="0"/>
                  <w:divBdr>
                    <w:top w:val="none" w:sz="0" w:space="0" w:color="auto"/>
                    <w:left w:val="none" w:sz="0" w:space="0" w:color="auto"/>
                    <w:bottom w:val="none" w:sz="0" w:space="0" w:color="auto"/>
                    <w:right w:val="none" w:sz="0" w:space="0" w:color="auto"/>
                  </w:divBdr>
                  <w:divsChild>
                    <w:div w:id="660279765">
                      <w:marLeft w:val="0"/>
                      <w:marRight w:val="0"/>
                      <w:marTop w:val="0"/>
                      <w:marBottom w:val="0"/>
                      <w:divBdr>
                        <w:top w:val="none" w:sz="0" w:space="0" w:color="auto"/>
                        <w:left w:val="none" w:sz="0" w:space="0" w:color="auto"/>
                        <w:bottom w:val="none" w:sz="0" w:space="0" w:color="auto"/>
                        <w:right w:val="none" w:sz="0" w:space="0" w:color="auto"/>
                      </w:divBdr>
                    </w:div>
                  </w:divsChild>
                </w:div>
                <w:div w:id="568615033">
                  <w:marLeft w:val="0"/>
                  <w:marRight w:val="0"/>
                  <w:marTop w:val="0"/>
                  <w:marBottom w:val="0"/>
                  <w:divBdr>
                    <w:top w:val="none" w:sz="0" w:space="0" w:color="auto"/>
                    <w:left w:val="none" w:sz="0" w:space="0" w:color="auto"/>
                    <w:bottom w:val="none" w:sz="0" w:space="0" w:color="auto"/>
                    <w:right w:val="none" w:sz="0" w:space="0" w:color="auto"/>
                  </w:divBdr>
                  <w:divsChild>
                    <w:div w:id="1541090862">
                      <w:marLeft w:val="0"/>
                      <w:marRight w:val="0"/>
                      <w:marTop w:val="0"/>
                      <w:marBottom w:val="0"/>
                      <w:divBdr>
                        <w:top w:val="none" w:sz="0" w:space="0" w:color="auto"/>
                        <w:left w:val="none" w:sz="0" w:space="0" w:color="auto"/>
                        <w:bottom w:val="none" w:sz="0" w:space="0" w:color="auto"/>
                        <w:right w:val="none" w:sz="0" w:space="0" w:color="auto"/>
                      </w:divBdr>
                    </w:div>
                  </w:divsChild>
                </w:div>
                <w:div w:id="644356758">
                  <w:marLeft w:val="0"/>
                  <w:marRight w:val="0"/>
                  <w:marTop w:val="0"/>
                  <w:marBottom w:val="0"/>
                  <w:divBdr>
                    <w:top w:val="none" w:sz="0" w:space="0" w:color="auto"/>
                    <w:left w:val="none" w:sz="0" w:space="0" w:color="auto"/>
                    <w:bottom w:val="none" w:sz="0" w:space="0" w:color="auto"/>
                    <w:right w:val="none" w:sz="0" w:space="0" w:color="auto"/>
                  </w:divBdr>
                  <w:divsChild>
                    <w:div w:id="1226186838">
                      <w:marLeft w:val="0"/>
                      <w:marRight w:val="0"/>
                      <w:marTop w:val="0"/>
                      <w:marBottom w:val="0"/>
                      <w:divBdr>
                        <w:top w:val="none" w:sz="0" w:space="0" w:color="auto"/>
                        <w:left w:val="none" w:sz="0" w:space="0" w:color="auto"/>
                        <w:bottom w:val="none" w:sz="0" w:space="0" w:color="auto"/>
                        <w:right w:val="none" w:sz="0" w:space="0" w:color="auto"/>
                      </w:divBdr>
                    </w:div>
                  </w:divsChild>
                </w:div>
                <w:div w:id="760031183">
                  <w:marLeft w:val="0"/>
                  <w:marRight w:val="0"/>
                  <w:marTop w:val="0"/>
                  <w:marBottom w:val="0"/>
                  <w:divBdr>
                    <w:top w:val="none" w:sz="0" w:space="0" w:color="auto"/>
                    <w:left w:val="none" w:sz="0" w:space="0" w:color="auto"/>
                    <w:bottom w:val="none" w:sz="0" w:space="0" w:color="auto"/>
                    <w:right w:val="none" w:sz="0" w:space="0" w:color="auto"/>
                  </w:divBdr>
                  <w:divsChild>
                    <w:div w:id="377437850">
                      <w:marLeft w:val="0"/>
                      <w:marRight w:val="0"/>
                      <w:marTop w:val="0"/>
                      <w:marBottom w:val="0"/>
                      <w:divBdr>
                        <w:top w:val="none" w:sz="0" w:space="0" w:color="auto"/>
                        <w:left w:val="none" w:sz="0" w:space="0" w:color="auto"/>
                        <w:bottom w:val="none" w:sz="0" w:space="0" w:color="auto"/>
                        <w:right w:val="none" w:sz="0" w:space="0" w:color="auto"/>
                      </w:divBdr>
                    </w:div>
                  </w:divsChild>
                </w:div>
                <w:div w:id="1066875458">
                  <w:marLeft w:val="0"/>
                  <w:marRight w:val="0"/>
                  <w:marTop w:val="0"/>
                  <w:marBottom w:val="0"/>
                  <w:divBdr>
                    <w:top w:val="none" w:sz="0" w:space="0" w:color="auto"/>
                    <w:left w:val="none" w:sz="0" w:space="0" w:color="auto"/>
                    <w:bottom w:val="none" w:sz="0" w:space="0" w:color="auto"/>
                    <w:right w:val="none" w:sz="0" w:space="0" w:color="auto"/>
                  </w:divBdr>
                  <w:divsChild>
                    <w:div w:id="724834547">
                      <w:marLeft w:val="0"/>
                      <w:marRight w:val="0"/>
                      <w:marTop w:val="0"/>
                      <w:marBottom w:val="0"/>
                      <w:divBdr>
                        <w:top w:val="none" w:sz="0" w:space="0" w:color="auto"/>
                        <w:left w:val="none" w:sz="0" w:space="0" w:color="auto"/>
                        <w:bottom w:val="none" w:sz="0" w:space="0" w:color="auto"/>
                        <w:right w:val="none" w:sz="0" w:space="0" w:color="auto"/>
                      </w:divBdr>
                    </w:div>
                  </w:divsChild>
                </w:div>
                <w:div w:id="1215579315">
                  <w:marLeft w:val="0"/>
                  <w:marRight w:val="0"/>
                  <w:marTop w:val="0"/>
                  <w:marBottom w:val="0"/>
                  <w:divBdr>
                    <w:top w:val="none" w:sz="0" w:space="0" w:color="auto"/>
                    <w:left w:val="none" w:sz="0" w:space="0" w:color="auto"/>
                    <w:bottom w:val="none" w:sz="0" w:space="0" w:color="auto"/>
                    <w:right w:val="none" w:sz="0" w:space="0" w:color="auto"/>
                  </w:divBdr>
                  <w:divsChild>
                    <w:div w:id="515316089">
                      <w:marLeft w:val="0"/>
                      <w:marRight w:val="0"/>
                      <w:marTop w:val="0"/>
                      <w:marBottom w:val="0"/>
                      <w:divBdr>
                        <w:top w:val="none" w:sz="0" w:space="0" w:color="auto"/>
                        <w:left w:val="none" w:sz="0" w:space="0" w:color="auto"/>
                        <w:bottom w:val="none" w:sz="0" w:space="0" w:color="auto"/>
                        <w:right w:val="none" w:sz="0" w:space="0" w:color="auto"/>
                      </w:divBdr>
                    </w:div>
                  </w:divsChild>
                </w:div>
                <w:div w:id="1468011522">
                  <w:marLeft w:val="0"/>
                  <w:marRight w:val="0"/>
                  <w:marTop w:val="0"/>
                  <w:marBottom w:val="0"/>
                  <w:divBdr>
                    <w:top w:val="none" w:sz="0" w:space="0" w:color="auto"/>
                    <w:left w:val="none" w:sz="0" w:space="0" w:color="auto"/>
                    <w:bottom w:val="none" w:sz="0" w:space="0" w:color="auto"/>
                    <w:right w:val="none" w:sz="0" w:space="0" w:color="auto"/>
                  </w:divBdr>
                  <w:divsChild>
                    <w:div w:id="441611348">
                      <w:marLeft w:val="0"/>
                      <w:marRight w:val="0"/>
                      <w:marTop w:val="0"/>
                      <w:marBottom w:val="0"/>
                      <w:divBdr>
                        <w:top w:val="none" w:sz="0" w:space="0" w:color="auto"/>
                        <w:left w:val="none" w:sz="0" w:space="0" w:color="auto"/>
                        <w:bottom w:val="none" w:sz="0" w:space="0" w:color="auto"/>
                        <w:right w:val="none" w:sz="0" w:space="0" w:color="auto"/>
                      </w:divBdr>
                    </w:div>
                  </w:divsChild>
                </w:div>
                <w:div w:id="1603881087">
                  <w:marLeft w:val="0"/>
                  <w:marRight w:val="0"/>
                  <w:marTop w:val="0"/>
                  <w:marBottom w:val="0"/>
                  <w:divBdr>
                    <w:top w:val="none" w:sz="0" w:space="0" w:color="auto"/>
                    <w:left w:val="none" w:sz="0" w:space="0" w:color="auto"/>
                    <w:bottom w:val="none" w:sz="0" w:space="0" w:color="auto"/>
                    <w:right w:val="none" w:sz="0" w:space="0" w:color="auto"/>
                  </w:divBdr>
                  <w:divsChild>
                    <w:div w:id="1442605703">
                      <w:marLeft w:val="0"/>
                      <w:marRight w:val="0"/>
                      <w:marTop w:val="0"/>
                      <w:marBottom w:val="0"/>
                      <w:divBdr>
                        <w:top w:val="none" w:sz="0" w:space="0" w:color="auto"/>
                        <w:left w:val="none" w:sz="0" w:space="0" w:color="auto"/>
                        <w:bottom w:val="none" w:sz="0" w:space="0" w:color="auto"/>
                        <w:right w:val="none" w:sz="0" w:space="0" w:color="auto"/>
                      </w:divBdr>
                    </w:div>
                  </w:divsChild>
                </w:div>
                <w:div w:id="2062315605">
                  <w:marLeft w:val="0"/>
                  <w:marRight w:val="0"/>
                  <w:marTop w:val="0"/>
                  <w:marBottom w:val="0"/>
                  <w:divBdr>
                    <w:top w:val="none" w:sz="0" w:space="0" w:color="auto"/>
                    <w:left w:val="none" w:sz="0" w:space="0" w:color="auto"/>
                    <w:bottom w:val="none" w:sz="0" w:space="0" w:color="auto"/>
                    <w:right w:val="none" w:sz="0" w:space="0" w:color="auto"/>
                  </w:divBdr>
                  <w:divsChild>
                    <w:div w:id="1172987473">
                      <w:marLeft w:val="0"/>
                      <w:marRight w:val="0"/>
                      <w:marTop w:val="0"/>
                      <w:marBottom w:val="0"/>
                      <w:divBdr>
                        <w:top w:val="none" w:sz="0" w:space="0" w:color="auto"/>
                        <w:left w:val="none" w:sz="0" w:space="0" w:color="auto"/>
                        <w:bottom w:val="none" w:sz="0" w:space="0" w:color="auto"/>
                        <w:right w:val="none" w:sz="0" w:space="0" w:color="auto"/>
                      </w:divBdr>
                    </w:div>
                  </w:divsChild>
                </w:div>
                <w:div w:id="2131393250">
                  <w:marLeft w:val="0"/>
                  <w:marRight w:val="0"/>
                  <w:marTop w:val="0"/>
                  <w:marBottom w:val="0"/>
                  <w:divBdr>
                    <w:top w:val="none" w:sz="0" w:space="0" w:color="auto"/>
                    <w:left w:val="none" w:sz="0" w:space="0" w:color="auto"/>
                    <w:bottom w:val="none" w:sz="0" w:space="0" w:color="auto"/>
                    <w:right w:val="none" w:sz="0" w:space="0" w:color="auto"/>
                  </w:divBdr>
                  <w:divsChild>
                    <w:div w:id="1084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70727">
          <w:marLeft w:val="0"/>
          <w:marRight w:val="0"/>
          <w:marTop w:val="0"/>
          <w:marBottom w:val="0"/>
          <w:divBdr>
            <w:top w:val="none" w:sz="0" w:space="0" w:color="auto"/>
            <w:left w:val="none" w:sz="0" w:space="0" w:color="auto"/>
            <w:bottom w:val="none" w:sz="0" w:space="0" w:color="auto"/>
            <w:right w:val="none" w:sz="0" w:space="0" w:color="auto"/>
          </w:divBdr>
          <w:divsChild>
            <w:div w:id="77874773">
              <w:marLeft w:val="-75"/>
              <w:marRight w:val="0"/>
              <w:marTop w:val="30"/>
              <w:marBottom w:val="30"/>
              <w:divBdr>
                <w:top w:val="none" w:sz="0" w:space="0" w:color="auto"/>
                <w:left w:val="none" w:sz="0" w:space="0" w:color="auto"/>
                <w:bottom w:val="none" w:sz="0" w:space="0" w:color="auto"/>
                <w:right w:val="none" w:sz="0" w:space="0" w:color="auto"/>
              </w:divBdr>
              <w:divsChild>
                <w:div w:id="41056111">
                  <w:marLeft w:val="0"/>
                  <w:marRight w:val="0"/>
                  <w:marTop w:val="0"/>
                  <w:marBottom w:val="0"/>
                  <w:divBdr>
                    <w:top w:val="none" w:sz="0" w:space="0" w:color="auto"/>
                    <w:left w:val="none" w:sz="0" w:space="0" w:color="auto"/>
                    <w:bottom w:val="none" w:sz="0" w:space="0" w:color="auto"/>
                    <w:right w:val="none" w:sz="0" w:space="0" w:color="auto"/>
                  </w:divBdr>
                  <w:divsChild>
                    <w:div w:id="736436273">
                      <w:marLeft w:val="0"/>
                      <w:marRight w:val="0"/>
                      <w:marTop w:val="0"/>
                      <w:marBottom w:val="0"/>
                      <w:divBdr>
                        <w:top w:val="none" w:sz="0" w:space="0" w:color="auto"/>
                        <w:left w:val="none" w:sz="0" w:space="0" w:color="auto"/>
                        <w:bottom w:val="none" w:sz="0" w:space="0" w:color="auto"/>
                        <w:right w:val="none" w:sz="0" w:space="0" w:color="auto"/>
                      </w:divBdr>
                    </w:div>
                  </w:divsChild>
                </w:div>
                <w:div w:id="144321173">
                  <w:marLeft w:val="0"/>
                  <w:marRight w:val="0"/>
                  <w:marTop w:val="0"/>
                  <w:marBottom w:val="0"/>
                  <w:divBdr>
                    <w:top w:val="none" w:sz="0" w:space="0" w:color="auto"/>
                    <w:left w:val="none" w:sz="0" w:space="0" w:color="auto"/>
                    <w:bottom w:val="none" w:sz="0" w:space="0" w:color="auto"/>
                    <w:right w:val="none" w:sz="0" w:space="0" w:color="auto"/>
                  </w:divBdr>
                  <w:divsChild>
                    <w:div w:id="266425794">
                      <w:marLeft w:val="0"/>
                      <w:marRight w:val="0"/>
                      <w:marTop w:val="0"/>
                      <w:marBottom w:val="0"/>
                      <w:divBdr>
                        <w:top w:val="none" w:sz="0" w:space="0" w:color="auto"/>
                        <w:left w:val="none" w:sz="0" w:space="0" w:color="auto"/>
                        <w:bottom w:val="none" w:sz="0" w:space="0" w:color="auto"/>
                        <w:right w:val="none" w:sz="0" w:space="0" w:color="auto"/>
                      </w:divBdr>
                    </w:div>
                  </w:divsChild>
                </w:div>
                <w:div w:id="174615521">
                  <w:marLeft w:val="0"/>
                  <w:marRight w:val="0"/>
                  <w:marTop w:val="0"/>
                  <w:marBottom w:val="0"/>
                  <w:divBdr>
                    <w:top w:val="none" w:sz="0" w:space="0" w:color="auto"/>
                    <w:left w:val="none" w:sz="0" w:space="0" w:color="auto"/>
                    <w:bottom w:val="none" w:sz="0" w:space="0" w:color="auto"/>
                    <w:right w:val="none" w:sz="0" w:space="0" w:color="auto"/>
                  </w:divBdr>
                  <w:divsChild>
                    <w:div w:id="1140071409">
                      <w:marLeft w:val="0"/>
                      <w:marRight w:val="0"/>
                      <w:marTop w:val="0"/>
                      <w:marBottom w:val="0"/>
                      <w:divBdr>
                        <w:top w:val="none" w:sz="0" w:space="0" w:color="auto"/>
                        <w:left w:val="none" w:sz="0" w:space="0" w:color="auto"/>
                        <w:bottom w:val="none" w:sz="0" w:space="0" w:color="auto"/>
                        <w:right w:val="none" w:sz="0" w:space="0" w:color="auto"/>
                      </w:divBdr>
                    </w:div>
                  </w:divsChild>
                </w:div>
                <w:div w:id="248734165">
                  <w:marLeft w:val="0"/>
                  <w:marRight w:val="0"/>
                  <w:marTop w:val="0"/>
                  <w:marBottom w:val="0"/>
                  <w:divBdr>
                    <w:top w:val="none" w:sz="0" w:space="0" w:color="auto"/>
                    <w:left w:val="none" w:sz="0" w:space="0" w:color="auto"/>
                    <w:bottom w:val="none" w:sz="0" w:space="0" w:color="auto"/>
                    <w:right w:val="none" w:sz="0" w:space="0" w:color="auto"/>
                  </w:divBdr>
                  <w:divsChild>
                    <w:div w:id="1548183359">
                      <w:marLeft w:val="0"/>
                      <w:marRight w:val="0"/>
                      <w:marTop w:val="0"/>
                      <w:marBottom w:val="0"/>
                      <w:divBdr>
                        <w:top w:val="none" w:sz="0" w:space="0" w:color="auto"/>
                        <w:left w:val="none" w:sz="0" w:space="0" w:color="auto"/>
                        <w:bottom w:val="none" w:sz="0" w:space="0" w:color="auto"/>
                        <w:right w:val="none" w:sz="0" w:space="0" w:color="auto"/>
                      </w:divBdr>
                    </w:div>
                  </w:divsChild>
                </w:div>
                <w:div w:id="259262008">
                  <w:marLeft w:val="0"/>
                  <w:marRight w:val="0"/>
                  <w:marTop w:val="0"/>
                  <w:marBottom w:val="0"/>
                  <w:divBdr>
                    <w:top w:val="none" w:sz="0" w:space="0" w:color="auto"/>
                    <w:left w:val="none" w:sz="0" w:space="0" w:color="auto"/>
                    <w:bottom w:val="none" w:sz="0" w:space="0" w:color="auto"/>
                    <w:right w:val="none" w:sz="0" w:space="0" w:color="auto"/>
                  </w:divBdr>
                  <w:divsChild>
                    <w:div w:id="1106077136">
                      <w:marLeft w:val="0"/>
                      <w:marRight w:val="0"/>
                      <w:marTop w:val="0"/>
                      <w:marBottom w:val="0"/>
                      <w:divBdr>
                        <w:top w:val="none" w:sz="0" w:space="0" w:color="auto"/>
                        <w:left w:val="none" w:sz="0" w:space="0" w:color="auto"/>
                        <w:bottom w:val="none" w:sz="0" w:space="0" w:color="auto"/>
                        <w:right w:val="none" w:sz="0" w:space="0" w:color="auto"/>
                      </w:divBdr>
                    </w:div>
                  </w:divsChild>
                </w:div>
                <w:div w:id="630984420">
                  <w:marLeft w:val="0"/>
                  <w:marRight w:val="0"/>
                  <w:marTop w:val="0"/>
                  <w:marBottom w:val="0"/>
                  <w:divBdr>
                    <w:top w:val="none" w:sz="0" w:space="0" w:color="auto"/>
                    <w:left w:val="none" w:sz="0" w:space="0" w:color="auto"/>
                    <w:bottom w:val="none" w:sz="0" w:space="0" w:color="auto"/>
                    <w:right w:val="none" w:sz="0" w:space="0" w:color="auto"/>
                  </w:divBdr>
                  <w:divsChild>
                    <w:div w:id="1225489394">
                      <w:marLeft w:val="0"/>
                      <w:marRight w:val="0"/>
                      <w:marTop w:val="0"/>
                      <w:marBottom w:val="0"/>
                      <w:divBdr>
                        <w:top w:val="none" w:sz="0" w:space="0" w:color="auto"/>
                        <w:left w:val="none" w:sz="0" w:space="0" w:color="auto"/>
                        <w:bottom w:val="none" w:sz="0" w:space="0" w:color="auto"/>
                        <w:right w:val="none" w:sz="0" w:space="0" w:color="auto"/>
                      </w:divBdr>
                    </w:div>
                  </w:divsChild>
                </w:div>
                <w:div w:id="676200648">
                  <w:marLeft w:val="0"/>
                  <w:marRight w:val="0"/>
                  <w:marTop w:val="0"/>
                  <w:marBottom w:val="0"/>
                  <w:divBdr>
                    <w:top w:val="none" w:sz="0" w:space="0" w:color="auto"/>
                    <w:left w:val="none" w:sz="0" w:space="0" w:color="auto"/>
                    <w:bottom w:val="none" w:sz="0" w:space="0" w:color="auto"/>
                    <w:right w:val="none" w:sz="0" w:space="0" w:color="auto"/>
                  </w:divBdr>
                  <w:divsChild>
                    <w:div w:id="185608132">
                      <w:marLeft w:val="0"/>
                      <w:marRight w:val="0"/>
                      <w:marTop w:val="0"/>
                      <w:marBottom w:val="0"/>
                      <w:divBdr>
                        <w:top w:val="none" w:sz="0" w:space="0" w:color="auto"/>
                        <w:left w:val="none" w:sz="0" w:space="0" w:color="auto"/>
                        <w:bottom w:val="none" w:sz="0" w:space="0" w:color="auto"/>
                        <w:right w:val="none" w:sz="0" w:space="0" w:color="auto"/>
                      </w:divBdr>
                    </w:div>
                  </w:divsChild>
                </w:div>
                <w:div w:id="714695576">
                  <w:marLeft w:val="0"/>
                  <w:marRight w:val="0"/>
                  <w:marTop w:val="0"/>
                  <w:marBottom w:val="0"/>
                  <w:divBdr>
                    <w:top w:val="none" w:sz="0" w:space="0" w:color="auto"/>
                    <w:left w:val="none" w:sz="0" w:space="0" w:color="auto"/>
                    <w:bottom w:val="none" w:sz="0" w:space="0" w:color="auto"/>
                    <w:right w:val="none" w:sz="0" w:space="0" w:color="auto"/>
                  </w:divBdr>
                  <w:divsChild>
                    <w:div w:id="759912161">
                      <w:marLeft w:val="0"/>
                      <w:marRight w:val="0"/>
                      <w:marTop w:val="0"/>
                      <w:marBottom w:val="0"/>
                      <w:divBdr>
                        <w:top w:val="none" w:sz="0" w:space="0" w:color="auto"/>
                        <w:left w:val="none" w:sz="0" w:space="0" w:color="auto"/>
                        <w:bottom w:val="none" w:sz="0" w:space="0" w:color="auto"/>
                        <w:right w:val="none" w:sz="0" w:space="0" w:color="auto"/>
                      </w:divBdr>
                    </w:div>
                  </w:divsChild>
                </w:div>
                <w:div w:id="756488524">
                  <w:marLeft w:val="0"/>
                  <w:marRight w:val="0"/>
                  <w:marTop w:val="0"/>
                  <w:marBottom w:val="0"/>
                  <w:divBdr>
                    <w:top w:val="none" w:sz="0" w:space="0" w:color="auto"/>
                    <w:left w:val="none" w:sz="0" w:space="0" w:color="auto"/>
                    <w:bottom w:val="none" w:sz="0" w:space="0" w:color="auto"/>
                    <w:right w:val="none" w:sz="0" w:space="0" w:color="auto"/>
                  </w:divBdr>
                  <w:divsChild>
                    <w:div w:id="1988246486">
                      <w:marLeft w:val="0"/>
                      <w:marRight w:val="0"/>
                      <w:marTop w:val="0"/>
                      <w:marBottom w:val="0"/>
                      <w:divBdr>
                        <w:top w:val="none" w:sz="0" w:space="0" w:color="auto"/>
                        <w:left w:val="none" w:sz="0" w:space="0" w:color="auto"/>
                        <w:bottom w:val="none" w:sz="0" w:space="0" w:color="auto"/>
                        <w:right w:val="none" w:sz="0" w:space="0" w:color="auto"/>
                      </w:divBdr>
                    </w:div>
                  </w:divsChild>
                </w:div>
                <w:div w:id="882446988">
                  <w:marLeft w:val="0"/>
                  <w:marRight w:val="0"/>
                  <w:marTop w:val="0"/>
                  <w:marBottom w:val="0"/>
                  <w:divBdr>
                    <w:top w:val="none" w:sz="0" w:space="0" w:color="auto"/>
                    <w:left w:val="none" w:sz="0" w:space="0" w:color="auto"/>
                    <w:bottom w:val="none" w:sz="0" w:space="0" w:color="auto"/>
                    <w:right w:val="none" w:sz="0" w:space="0" w:color="auto"/>
                  </w:divBdr>
                  <w:divsChild>
                    <w:div w:id="1103502319">
                      <w:marLeft w:val="0"/>
                      <w:marRight w:val="0"/>
                      <w:marTop w:val="0"/>
                      <w:marBottom w:val="0"/>
                      <w:divBdr>
                        <w:top w:val="none" w:sz="0" w:space="0" w:color="auto"/>
                        <w:left w:val="none" w:sz="0" w:space="0" w:color="auto"/>
                        <w:bottom w:val="none" w:sz="0" w:space="0" w:color="auto"/>
                        <w:right w:val="none" w:sz="0" w:space="0" w:color="auto"/>
                      </w:divBdr>
                    </w:div>
                  </w:divsChild>
                </w:div>
                <w:div w:id="988555269">
                  <w:marLeft w:val="0"/>
                  <w:marRight w:val="0"/>
                  <w:marTop w:val="0"/>
                  <w:marBottom w:val="0"/>
                  <w:divBdr>
                    <w:top w:val="none" w:sz="0" w:space="0" w:color="auto"/>
                    <w:left w:val="none" w:sz="0" w:space="0" w:color="auto"/>
                    <w:bottom w:val="none" w:sz="0" w:space="0" w:color="auto"/>
                    <w:right w:val="none" w:sz="0" w:space="0" w:color="auto"/>
                  </w:divBdr>
                  <w:divsChild>
                    <w:div w:id="42489360">
                      <w:marLeft w:val="0"/>
                      <w:marRight w:val="0"/>
                      <w:marTop w:val="0"/>
                      <w:marBottom w:val="0"/>
                      <w:divBdr>
                        <w:top w:val="none" w:sz="0" w:space="0" w:color="auto"/>
                        <w:left w:val="none" w:sz="0" w:space="0" w:color="auto"/>
                        <w:bottom w:val="none" w:sz="0" w:space="0" w:color="auto"/>
                        <w:right w:val="none" w:sz="0" w:space="0" w:color="auto"/>
                      </w:divBdr>
                    </w:div>
                  </w:divsChild>
                </w:div>
                <w:div w:id="1146707039">
                  <w:marLeft w:val="0"/>
                  <w:marRight w:val="0"/>
                  <w:marTop w:val="0"/>
                  <w:marBottom w:val="0"/>
                  <w:divBdr>
                    <w:top w:val="none" w:sz="0" w:space="0" w:color="auto"/>
                    <w:left w:val="none" w:sz="0" w:space="0" w:color="auto"/>
                    <w:bottom w:val="none" w:sz="0" w:space="0" w:color="auto"/>
                    <w:right w:val="none" w:sz="0" w:space="0" w:color="auto"/>
                  </w:divBdr>
                  <w:divsChild>
                    <w:div w:id="1363750763">
                      <w:marLeft w:val="0"/>
                      <w:marRight w:val="0"/>
                      <w:marTop w:val="0"/>
                      <w:marBottom w:val="0"/>
                      <w:divBdr>
                        <w:top w:val="none" w:sz="0" w:space="0" w:color="auto"/>
                        <w:left w:val="none" w:sz="0" w:space="0" w:color="auto"/>
                        <w:bottom w:val="none" w:sz="0" w:space="0" w:color="auto"/>
                        <w:right w:val="none" w:sz="0" w:space="0" w:color="auto"/>
                      </w:divBdr>
                    </w:div>
                  </w:divsChild>
                </w:div>
                <w:div w:id="1174760205">
                  <w:marLeft w:val="0"/>
                  <w:marRight w:val="0"/>
                  <w:marTop w:val="0"/>
                  <w:marBottom w:val="0"/>
                  <w:divBdr>
                    <w:top w:val="none" w:sz="0" w:space="0" w:color="auto"/>
                    <w:left w:val="none" w:sz="0" w:space="0" w:color="auto"/>
                    <w:bottom w:val="none" w:sz="0" w:space="0" w:color="auto"/>
                    <w:right w:val="none" w:sz="0" w:space="0" w:color="auto"/>
                  </w:divBdr>
                  <w:divsChild>
                    <w:div w:id="399333164">
                      <w:marLeft w:val="0"/>
                      <w:marRight w:val="0"/>
                      <w:marTop w:val="0"/>
                      <w:marBottom w:val="0"/>
                      <w:divBdr>
                        <w:top w:val="none" w:sz="0" w:space="0" w:color="auto"/>
                        <w:left w:val="none" w:sz="0" w:space="0" w:color="auto"/>
                        <w:bottom w:val="none" w:sz="0" w:space="0" w:color="auto"/>
                        <w:right w:val="none" w:sz="0" w:space="0" w:color="auto"/>
                      </w:divBdr>
                    </w:div>
                  </w:divsChild>
                </w:div>
                <w:div w:id="1198660816">
                  <w:marLeft w:val="0"/>
                  <w:marRight w:val="0"/>
                  <w:marTop w:val="0"/>
                  <w:marBottom w:val="0"/>
                  <w:divBdr>
                    <w:top w:val="none" w:sz="0" w:space="0" w:color="auto"/>
                    <w:left w:val="none" w:sz="0" w:space="0" w:color="auto"/>
                    <w:bottom w:val="none" w:sz="0" w:space="0" w:color="auto"/>
                    <w:right w:val="none" w:sz="0" w:space="0" w:color="auto"/>
                  </w:divBdr>
                  <w:divsChild>
                    <w:div w:id="87435595">
                      <w:marLeft w:val="0"/>
                      <w:marRight w:val="0"/>
                      <w:marTop w:val="0"/>
                      <w:marBottom w:val="0"/>
                      <w:divBdr>
                        <w:top w:val="none" w:sz="0" w:space="0" w:color="auto"/>
                        <w:left w:val="none" w:sz="0" w:space="0" w:color="auto"/>
                        <w:bottom w:val="none" w:sz="0" w:space="0" w:color="auto"/>
                        <w:right w:val="none" w:sz="0" w:space="0" w:color="auto"/>
                      </w:divBdr>
                    </w:div>
                  </w:divsChild>
                </w:div>
                <w:div w:id="1208646081">
                  <w:marLeft w:val="0"/>
                  <w:marRight w:val="0"/>
                  <w:marTop w:val="0"/>
                  <w:marBottom w:val="0"/>
                  <w:divBdr>
                    <w:top w:val="none" w:sz="0" w:space="0" w:color="auto"/>
                    <w:left w:val="none" w:sz="0" w:space="0" w:color="auto"/>
                    <w:bottom w:val="none" w:sz="0" w:space="0" w:color="auto"/>
                    <w:right w:val="none" w:sz="0" w:space="0" w:color="auto"/>
                  </w:divBdr>
                  <w:divsChild>
                    <w:div w:id="1768959465">
                      <w:marLeft w:val="0"/>
                      <w:marRight w:val="0"/>
                      <w:marTop w:val="0"/>
                      <w:marBottom w:val="0"/>
                      <w:divBdr>
                        <w:top w:val="none" w:sz="0" w:space="0" w:color="auto"/>
                        <w:left w:val="none" w:sz="0" w:space="0" w:color="auto"/>
                        <w:bottom w:val="none" w:sz="0" w:space="0" w:color="auto"/>
                        <w:right w:val="none" w:sz="0" w:space="0" w:color="auto"/>
                      </w:divBdr>
                    </w:div>
                  </w:divsChild>
                </w:div>
                <w:div w:id="1328554617">
                  <w:marLeft w:val="0"/>
                  <w:marRight w:val="0"/>
                  <w:marTop w:val="0"/>
                  <w:marBottom w:val="0"/>
                  <w:divBdr>
                    <w:top w:val="none" w:sz="0" w:space="0" w:color="auto"/>
                    <w:left w:val="none" w:sz="0" w:space="0" w:color="auto"/>
                    <w:bottom w:val="none" w:sz="0" w:space="0" w:color="auto"/>
                    <w:right w:val="none" w:sz="0" w:space="0" w:color="auto"/>
                  </w:divBdr>
                  <w:divsChild>
                    <w:div w:id="164789309">
                      <w:marLeft w:val="0"/>
                      <w:marRight w:val="0"/>
                      <w:marTop w:val="0"/>
                      <w:marBottom w:val="0"/>
                      <w:divBdr>
                        <w:top w:val="none" w:sz="0" w:space="0" w:color="auto"/>
                        <w:left w:val="none" w:sz="0" w:space="0" w:color="auto"/>
                        <w:bottom w:val="none" w:sz="0" w:space="0" w:color="auto"/>
                        <w:right w:val="none" w:sz="0" w:space="0" w:color="auto"/>
                      </w:divBdr>
                    </w:div>
                  </w:divsChild>
                </w:div>
                <w:div w:id="1334457530">
                  <w:marLeft w:val="0"/>
                  <w:marRight w:val="0"/>
                  <w:marTop w:val="0"/>
                  <w:marBottom w:val="0"/>
                  <w:divBdr>
                    <w:top w:val="none" w:sz="0" w:space="0" w:color="auto"/>
                    <w:left w:val="none" w:sz="0" w:space="0" w:color="auto"/>
                    <w:bottom w:val="none" w:sz="0" w:space="0" w:color="auto"/>
                    <w:right w:val="none" w:sz="0" w:space="0" w:color="auto"/>
                  </w:divBdr>
                  <w:divsChild>
                    <w:div w:id="1796098779">
                      <w:marLeft w:val="0"/>
                      <w:marRight w:val="0"/>
                      <w:marTop w:val="0"/>
                      <w:marBottom w:val="0"/>
                      <w:divBdr>
                        <w:top w:val="none" w:sz="0" w:space="0" w:color="auto"/>
                        <w:left w:val="none" w:sz="0" w:space="0" w:color="auto"/>
                        <w:bottom w:val="none" w:sz="0" w:space="0" w:color="auto"/>
                        <w:right w:val="none" w:sz="0" w:space="0" w:color="auto"/>
                      </w:divBdr>
                    </w:div>
                  </w:divsChild>
                </w:div>
                <w:div w:id="1375501723">
                  <w:marLeft w:val="0"/>
                  <w:marRight w:val="0"/>
                  <w:marTop w:val="0"/>
                  <w:marBottom w:val="0"/>
                  <w:divBdr>
                    <w:top w:val="none" w:sz="0" w:space="0" w:color="auto"/>
                    <w:left w:val="none" w:sz="0" w:space="0" w:color="auto"/>
                    <w:bottom w:val="none" w:sz="0" w:space="0" w:color="auto"/>
                    <w:right w:val="none" w:sz="0" w:space="0" w:color="auto"/>
                  </w:divBdr>
                  <w:divsChild>
                    <w:div w:id="126120933">
                      <w:marLeft w:val="0"/>
                      <w:marRight w:val="0"/>
                      <w:marTop w:val="0"/>
                      <w:marBottom w:val="0"/>
                      <w:divBdr>
                        <w:top w:val="none" w:sz="0" w:space="0" w:color="auto"/>
                        <w:left w:val="none" w:sz="0" w:space="0" w:color="auto"/>
                        <w:bottom w:val="none" w:sz="0" w:space="0" w:color="auto"/>
                        <w:right w:val="none" w:sz="0" w:space="0" w:color="auto"/>
                      </w:divBdr>
                    </w:div>
                  </w:divsChild>
                </w:div>
                <w:div w:id="1485393482">
                  <w:marLeft w:val="0"/>
                  <w:marRight w:val="0"/>
                  <w:marTop w:val="0"/>
                  <w:marBottom w:val="0"/>
                  <w:divBdr>
                    <w:top w:val="none" w:sz="0" w:space="0" w:color="auto"/>
                    <w:left w:val="none" w:sz="0" w:space="0" w:color="auto"/>
                    <w:bottom w:val="none" w:sz="0" w:space="0" w:color="auto"/>
                    <w:right w:val="none" w:sz="0" w:space="0" w:color="auto"/>
                  </w:divBdr>
                  <w:divsChild>
                    <w:div w:id="345133481">
                      <w:marLeft w:val="0"/>
                      <w:marRight w:val="0"/>
                      <w:marTop w:val="0"/>
                      <w:marBottom w:val="0"/>
                      <w:divBdr>
                        <w:top w:val="none" w:sz="0" w:space="0" w:color="auto"/>
                        <w:left w:val="none" w:sz="0" w:space="0" w:color="auto"/>
                        <w:bottom w:val="none" w:sz="0" w:space="0" w:color="auto"/>
                        <w:right w:val="none" w:sz="0" w:space="0" w:color="auto"/>
                      </w:divBdr>
                    </w:div>
                  </w:divsChild>
                </w:div>
                <w:div w:id="1493909182">
                  <w:marLeft w:val="0"/>
                  <w:marRight w:val="0"/>
                  <w:marTop w:val="0"/>
                  <w:marBottom w:val="0"/>
                  <w:divBdr>
                    <w:top w:val="none" w:sz="0" w:space="0" w:color="auto"/>
                    <w:left w:val="none" w:sz="0" w:space="0" w:color="auto"/>
                    <w:bottom w:val="none" w:sz="0" w:space="0" w:color="auto"/>
                    <w:right w:val="none" w:sz="0" w:space="0" w:color="auto"/>
                  </w:divBdr>
                  <w:divsChild>
                    <w:div w:id="1363434435">
                      <w:marLeft w:val="0"/>
                      <w:marRight w:val="0"/>
                      <w:marTop w:val="0"/>
                      <w:marBottom w:val="0"/>
                      <w:divBdr>
                        <w:top w:val="none" w:sz="0" w:space="0" w:color="auto"/>
                        <w:left w:val="none" w:sz="0" w:space="0" w:color="auto"/>
                        <w:bottom w:val="none" w:sz="0" w:space="0" w:color="auto"/>
                        <w:right w:val="none" w:sz="0" w:space="0" w:color="auto"/>
                      </w:divBdr>
                    </w:div>
                  </w:divsChild>
                </w:div>
                <w:div w:id="1527402034">
                  <w:marLeft w:val="0"/>
                  <w:marRight w:val="0"/>
                  <w:marTop w:val="0"/>
                  <w:marBottom w:val="0"/>
                  <w:divBdr>
                    <w:top w:val="none" w:sz="0" w:space="0" w:color="auto"/>
                    <w:left w:val="none" w:sz="0" w:space="0" w:color="auto"/>
                    <w:bottom w:val="none" w:sz="0" w:space="0" w:color="auto"/>
                    <w:right w:val="none" w:sz="0" w:space="0" w:color="auto"/>
                  </w:divBdr>
                  <w:divsChild>
                    <w:div w:id="404492188">
                      <w:marLeft w:val="0"/>
                      <w:marRight w:val="0"/>
                      <w:marTop w:val="0"/>
                      <w:marBottom w:val="0"/>
                      <w:divBdr>
                        <w:top w:val="none" w:sz="0" w:space="0" w:color="auto"/>
                        <w:left w:val="none" w:sz="0" w:space="0" w:color="auto"/>
                        <w:bottom w:val="none" w:sz="0" w:space="0" w:color="auto"/>
                        <w:right w:val="none" w:sz="0" w:space="0" w:color="auto"/>
                      </w:divBdr>
                    </w:div>
                  </w:divsChild>
                </w:div>
                <w:div w:id="1633709181">
                  <w:marLeft w:val="0"/>
                  <w:marRight w:val="0"/>
                  <w:marTop w:val="0"/>
                  <w:marBottom w:val="0"/>
                  <w:divBdr>
                    <w:top w:val="none" w:sz="0" w:space="0" w:color="auto"/>
                    <w:left w:val="none" w:sz="0" w:space="0" w:color="auto"/>
                    <w:bottom w:val="none" w:sz="0" w:space="0" w:color="auto"/>
                    <w:right w:val="none" w:sz="0" w:space="0" w:color="auto"/>
                  </w:divBdr>
                  <w:divsChild>
                    <w:div w:id="2033460279">
                      <w:marLeft w:val="0"/>
                      <w:marRight w:val="0"/>
                      <w:marTop w:val="0"/>
                      <w:marBottom w:val="0"/>
                      <w:divBdr>
                        <w:top w:val="none" w:sz="0" w:space="0" w:color="auto"/>
                        <w:left w:val="none" w:sz="0" w:space="0" w:color="auto"/>
                        <w:bottom w:val="none" w:sz="0" w:space="0" w:color="auto"/>
                        <w:right w:val="none" w:sz="0" w:space="0" w:color="auto"/>
                      </w:divBdr>
                    </w:div>
                  </w:divsChild>
                </w:div>
                <w:div w:id="1680934794">
                  <w:marLeft w:val="0"/>
                  <w:marRight w:val="0"/>
                  <w:marTop w:val="0"/>
                  <w:marBottom w:val="0"/>
                  <w:divBdr>
                    <w:top w:val="none" w:sz="0" w:space="0" w:color="auto"/>
                    <w:left w:val="none" w:sz="0" w:space="0" w:color="auto"/>
                    <w:bottom w:val="none" w:sz="0" w:space="0" w:color="auto"/>
                    <w:right w:val="none" w:sz="0" w:space="0" w:color="auto"/>
                  </w:divBdr>
                  <w:divsChild>
                    <w:div w:id="198208032">
                      <w:marLeft w:val="0"/>
                      <w:marRight w:val="0"/>
                      <w:marTop w:val="0"/>
                      <w:marBottom w:val="0"/>
                      <w:divBdr>
                        <w:top w:val="none" w:sz="0" w:space="0" w:color="auto"/>
                        <w:left w:val="none" w:sz="0" w:space="0" w:color="auto"/>
                        <w:bottom w:val="none" w:sz="0" w:space="0" w:color="auto"/>
                        <w:right w:val="none" w:sz="0" w:space="0" w:color="auto"/>
                      </w:divBdr>
                    </w:div>
                  </w:divsChild>
                </w:div>
                <w:div w:id="1795058659">
                  <w:marLeft w:val="0"/>
                  <w:marRight w:val="0"/>
                  <w:marTop w:val="0"/>
                  <w:marBottom w:val="0"/>
                  <w:divBdr>
                    <w:top w:val="none" w:sz="0" w:space="0" w:color="auto"/>
                    <w:left w:val="none" w:sz="0" w:space="0" w:color="auto"/>
                    <w:bottom w:val="none" w:sz="0" w:space="0" w:color="auto"/>
                    <w:right w:val="none" w:sz="0" w:space="0" w:color="auto"/>
                  </w:divBdr>
                  <w:divsChild>
                    <w:div w:id="48770210">
                      <w:marLeft w:val="0"/>
                      <w:marRight w:val="0"/>
                      <w:marTop w:val="0"/>
                      <w:marBottom w:val="0"/>
                      <w:divBdr>
                        <w:top w:val="none" w:sz="0" w:space="0" w:color="auto"/>
                        <w:left w:val="none" w:sz="0" w:space="0" w:color="auto"/>
                        <w:bottom w:val="none" w:sz="0" w:space="0" w:color="auto"/>
                        <w:right w:val="none" w:sz="0" w:space="0" w:color="auto"/>
                      </w:divBdr>
                    </w:div>
                  </w:divsChild>
                </w:div>
                <w:div w:id="1800950376">
                  <w:marLeft w:val="0"/>
                  <w:marRight w:val="0"/>
                  <w:marTop w:val="0"/>
                  <w:marBottom w:val="0"/>
                  <w:divBdr>
                    <w:top w:val="none" w:sz="0" w:space="0" w:color="auto"/>
                    <w:left w:val="none" w:sz="0" w:space="0" w:color="auto"/>
                    <w:bottom w:val="none" w:sz="0" w:space="0" w:color="auto"/>
                    <w:right w:val="none" w:sz="0" w:space="0" w:color="auto"/>
                  </w:divBdr>
                  <w:divsChild>
                    <w:div w:id="294064942">
                      <w:marLeft w:val="0"/>
                      <w:marRight w:val="0"/>
                      <w:marTop w:val="0"/>
                      <w:marBottom w:val="0"/>
                      <w:divBdr>
                        <w:top w:val="none" w:sz="0" w:space="0" w:color="auto"/>
                        <w:left w:val="none" w:sz="0" w:space="0" w:color="auto"/>
                        <w:bottom w:val="none" w:sz="0" w:space="0" w:color="auto"/>
                        <w:right w:val="none" w:sz="0" w:space="0" w:color="auto"/>
                      </w:divBdr>
                    </w:div>
                  </w:divsChild>
                </w:div>
                <w:div w:id="1904871817">
                  <w:marLeft w:val="0"/>
                  <w:marRight w:val="0"/>
                  <w:marTop w:val="0"/>
                  <w:marBottom w:val="0"/>
                  <w:divBdr>
                    <w:top w:val="none" w:sz="0" w:space="0" w:color="auto"/>
                    <w:left w:val="none" w:sz="0" w:space="0" w:color="auto"/>
                    <w:bottom w:val="none" w:sz="0" w:space="0" w:color="auto"/>
                    <w:right w:val="none" w:sz="0" w:space="0" w:color="auto"/>
                  </w:divBdr>
                  <w:divsChild>
                    <w:div w:id="948321567">
                      <w:marLeft w:val="0"/>
                      <w:marRight w:val="0"/>
                      <w:marTop w:val="0"/>
                      <w:marBottom w:val="0"/>
                      <w:divBdr>
                        <w:top w:val="none" w:sz="0" w:space="0" w:color="auto"/>
                        <w:left w:val="none" w:sz="0" w:space="0" w:color="auto"/>
                        <w:bottom w:val="none" w:sz="0" w:space="0" w:color="auto"/>
                        <w:right w:val="none" w:sz="0" w:space="0" w:color="auto"/>
                      </w:divBdr>
                    </w:div>
                  </w:divsChild>
                </w:div>
                <w:div w:id="2101950518">
                  <w:marLeft w:val="0"/>
                  <w:marRight w:val="0"/>
                  <w:marTop w:val="0"/>
                  <w:marBottom w:val="0"/>
                  <w:divBdr>
                    <w:top w:val="none" w:sz="0" w:space="0" w:color="auto"/>
                    <w:left w:val="none" w:sz="0" w:space="0" w:color="auto"/>
                    <w:bottom w:val="none" w:sz="0" w:space="0" w:color="auto"/>
                    <w:right w:val="none" w:sz="0" w:space="0" w:color="auto"/>
                  </w:divBdr>
                  <w:divsChild>
                    <w:div w:id="17297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86396">
          <w:marLeft w:val="0"/>
          <w:marRight w:val="0"/>
          <w:marTop w:val="0"/>
          <w:marBottom w:val="0"/>
          <w:divBdr>
            <w:top w:val="none" w:sz="0" w:space="0" w:color="auto"/>
            <w:left w:val="none" w:sz="0" w:space="0" w:color="auto"/>
            <w:bottom w:val="none" w:sz="0" w:space="0" w:color="auto"/>
            <w:right w:val="none" w:sz="0" w:space="0" w:color="auto"/>
          </w:divBdr>
          <w:divsChild>
            <w:div w:id="255329279">
              <w:marLeft w:val="-75"/>
              <w:marRight w:val="0"/>
              <w:marTop w:val="30"/>
              <w:marBottom w:val="30"/>
              <w:divBdr>
                <w:top w:val="none" w:sz="0" w:space="0" w:color="auto"/>
                <w:left w:val="none" w:sz="0" w:space="0" w:color="auto"/>
                <w:bottom w:val="none" w:sz="0" w:space="0" w:color="auto"/>
                <w:right w:val="none" w:sz="0" w:space="0" w:color="auto"/>
              </w:divBdr>
              <w:divsChild>
                <w:div w:id="193857442">
                  <w:marLeft w:val="0"/>
                  <w:marRight w:val="0"/>
                  <w:marTop w:val="0"/>
                  <w:marBottom w:val="0"/>
                  <w:divBdr>
                    <w:top w:val="none" w:sz="0" w:space="0" w:color="auto"/>
                    <w:left w:val="none" w:sz="0" w:space="0" w:color="auto"/>
                    <w:bottom w:val="none" w:sz="0" w:space="0" w:color="auto"/>
                    <w:right w:val="none" w:sz="0" w:space="0" w:color="auto"/>
                  </w:divBdr>
                  <w:divsChild>
                    <w:div w:id="1559435446">
                      <w:marLeft w:val="0"/>
                      <w:marRight w:val="0"/>
                      <w:marTop w:val="0"/>
                      <w:marBottom w:val="0"/>
                      <w:divBdr>
                        <w:top w:val="none" w:sz="0" w:space="0" w:color="auto"/>
                        <w:left w:val="none" w:sz="0" w:space="0" w:color="auto"/>
                        <w:bottom w:val="none" w:sz="0" w:space="0" w:color="auto"/>
                        <w:right w:val="none" w:sz="0" w:space="0" w:color="auto"/>
                      </w:divBdr>
                    </w:div>
                  </w:divsChild>
                </w:div>
                <w:div w:id="515197088">
                  <w:marLeft w:val="0"/>
                  <w:marRight w:val="0"/>
                  <w:marTop w:val="0"/>
                  <w:marBottom w:val="0"/>
                  <w:divBdr>
                    <w:top w:val="none" w:sz="0" w:space="0" w:color="auto"/>
                    <w:left w:val="none" w:sz="0" w:space="0" w:color="auto"/>
                    <w:bottom w:val="none" w:sz="0" w:space="0" w:color="auto"/>
                    <w:right w:val="none" w:sz="0" w:space="0" w:color="auto"/>
                  </w:divBdr>
                  <w:divsChild>
                    <w:div w:id="717246610">
                      <w:marLeft w:val="0"/>
                      <w:marRight w:val="0"/>
                      <w:marTop w:val="0"/>
                      <w:marBottom w:val="0"/>
                      <w:divBdr>
                        <w:top w:val="none" w:sz="0" w:space="0" w:color="auto"/>
                        <w:left w:val="none" w:sz="0" w:space="0" w:color="auto"/>
                        <w:bottom w:val="none" w:sz="0" w:space="0" w:color="auto"/>
                        <w:right w:val="none" w:sz="0" w:space="0" w:color="auto"/>
                      </w:divBdr>
                    </w:div>
                  </w:divsChild>
                </w:div>
                <w:div w:id="662586792">
                  <w:marLeft w:val="0"/>
                  <w:marRight w:val="0"/>
                  <w:marTop w:val="0"/>
                  <w:marBottom w:val="0"/>
                  <w:divBdr>
                    <w:top w:val="none" w:sz="0" w:space="0" w:color="auto"/>
                    <w:left w:val="none" w:sz="0" w:space="0" w:color="auto"/>
                    <w:bottom w:val="none" w:sz="0" w:space="0" w:color="auto"/>
                    <w:right w:val="none" w:sz="0" w:space="0" w:color="auto"/>
                  </w:divBdr>
                  <w:divsChild>
                    <w:div w:id="1092359664">
                      <w:marLeft w:val="0"/>
                      <w:marRight w:val="0"/>
                      <w:marTop w:val="0"/>
                      <w:marBottom w:val="0"/>
                      <w:divBdr>
                        <w:top w:val="none" w:sz="0" w:space="0" w:color="auto"/>
                        <w:left w:val="none" w:sz="0" w:space="0" w:color="auto"/>
                        <w:bottom w:val="none" w:sz="0" w:space="0" w:color="auto"/>
                        <w:right w:val="none" w:sz="0" w:space="0" w:color="auto"/>
                      </w:divBdr>
                    </w:div>
                  </w:divsChild>
                </w:div>
                <w:div w:id="994920844">
                  <w:marLeft w:val="0"/>
                  <w:marRight w:val="0"/>
                  <w:marTop w:val="0"/>
                  <w:marBottom w:val="0"/>
                  <w:divBdr>
                    <w:top w:val="none" w:sz="0" w:space="0" w:color="auto"/>
                    <w:left w:val="none" w:sz="0" w:space="0" w:color="auto"/>
                    <w:bottom w:val="none" w:sz="0" w:space="0" w:color="auto"/>
                    <w:right w:val="none" w:sz="0" w:space="0" w:color="auto"/>
                  </w:divBdr>
                  <w:divsChild>
                    <w:div w:id="2035299887">
                      <w:marLeft w:val="0"/>
                      <w:marRight w:val="0"/>
                      <w:marTop w:val="0"/>
                      <w:marBottom w:val="0"/>
                      <w:divBdr>
                        <w:top w:val="none" w:sz="0" w:space="0" w:color="auto"/>
                        <w:left w:val="none" w:sz="0" w:space="0" w:color="auto"/>
                        <w:bottom w:val="none" w:sz="0" w:space="0" w:color="auto"/>
                        <w:right w:val="none" w:sz="0" w:space="0" w:color="auto"/>
                      </w:divBdr>
                    </w:div>
                  </w:divsChild>
                </w:div>
                <w:div w:id="1135441311">
                  <w:marLeft w:val="0"/>
                  <w:marRight w:val="0"/>
                  <w:marTop w:val="0"/>
                  <w:marBottom w:val="0"/>
                  <w:divBdr>
                    <w:top w:val="none" w:sz="0" w:space="0" w:color="auto"/>
                    <w:left w:val="none" w:sz="0" w:space="0" w:color="auto"/>
                    <w:bottom w:val="none" w:sz="0" w:space="0" w:color="auto"/>
                    <w:right w:val="none" w:sz="0" w:space="0" w:color="auto"/>
                  </w:divBdr>
                  <w:divsChild>
                    <w:div w:id="1258711823">
                      <w:marLeft w:val="0"/>
                      <w:marRight w:val="0"/>
                      <w:marTop w:val="0"/>
                      <w:marBottom w:val="0"/>
                      <w:divBdr>
                        <w:top w:val="none" w:sz="0" w:space="0" w:color="auto"/>
                        <w:left w:val="none" w:sz="0" w:space="0" w:color="auto"/>
                        <w:bottom w:val="none" w:sz="0" w:space="0" w:color="auto"/>
                        <w:right w:val="none" w:sz="0" w:space="0" w:color="auto"/>
                      </w:divBdr>
                    </w:div>
                  </w:divsChild>
                </w:div>
                <w:div w:id="1188637137">
                  <w:marLeft w:val="0"/>
                  <w:marRight w:val="0"/>
                  <w:marTop w:val="0"/>
                  <w:marBottom w:val="0"/>
                  <w:divBdr>
                    <w:top w:val="none" w:sz="0" w:space="0" w:color="auto"/>
                    <w:left w:val="none" w:sz="0" w:space="0" w:color="auto"/>
                    <w:bottom w:val="none" w:sz="0" w:space="0" w:color="auto"/>
                    <w:right w:val="none" w:sz="0" w:space="0" w:color="auto"/>
                  </w:divBdr>
                  <w:divsChild>
                    <w:div w:id="1632007388">
                      <w:marLeft w:val="0"/>
                      <w:marRight w:val="0"/>
                      <w:marTop w:val="0"/>
                      <w:marBottom w:val="0"/>
                      <w:divBdr>
                        <w:top w:val="none" w:sz="0" w:space="0" w:color="auto"/>
                        <w:left w:val="none" w:sz="0" w:space="0" w:color="auto"/>
                        <w:bottom w:val="none" w:sz="0" w:space="0" w:color="auto"/>
                        <w:right w:val="none" w:sz="0" w:space="0" w:color="auto"/>
                      </w:divBdr>
                    </w:div>
                  </w:divsChild>
                </w:div>
                <w:div w:id="1553883148">
                  <w:marLeft w:val="0"/>
                  <w:marRight w:val="0"/>
                  <w:marTop w:val="0"/>
                  <w:marBottom w:val="0"/>
                  <w:divBdr>
                    <w:top w:val="none" w:sz="0" w:space="0" w:color="auto"/>
                    <w:left w:val="none" w:sz="0" w:space="0" w:color="auto"/>
                    <w:bottom w:val="none" w:sz="0" w:space="0" w:color="auto"/>
                    <w:right w:val="none" w:sz="0" w:space="0" w:color="auto"/>
                  </w:divBdr>
                  <w:divsChild>
                    <w:div w:id="1744715686">
                      <w:marLeft w:val="0"/>
                      <w:marRight w:val="0"/>
                      <w:marTop w:val="0"/>
                      <w:marBottom w:val="0"/>
                      <w:divBdr>
                        <w:top w:val="none" w:sz="0" w:space="0" w:color="auto"/>
                        <w:left w:val="none" w:sz="0" w:space="0" w:color="auto"/>
                        <w:bottom w:val="none" w:sz="0" w:space="0" w:color="auto"/>
                        <w:right w:val="none" w:sz="0" w:space="0" w:color="auto"/>
                      </w:divBdr>
                    </w:div>
                  </w:divsChild>
                </w:div>
                <w:div w:id="1743602057">
                  <w:marLeft w:val="0"/>
                  <w:marRight w:val="0"/>
                  <w:marTop w:val="0"/>
                  <w:marBottom w:val="0"/>
                  <w:divBdr>
                    <w:top w:val="none" w:sz="0" w:space="0" w:color="auto"/>
                    <w:left w:val="none" w:sz="0" w:space="0" w:color="auto"/>
                    <w:bottom w:val="none" w:sz="0" w:space="0" w:color="auto"/>
                    <w:right w:val="none" w:sz="0" w:space="0" w:color="auto"/>
                  </w:divBdr>
                  <w:divsChild>
                    <w:div w:id="598300067">
                      <w:marLeft w:val="0"/>
                      <w:marRight w:val="0"/>
                      <w:marTop w:val="0"/>
                      <w:marBottom w:val="0"/>
                      <w:divBdr>
                        <w:top w:val="none" w:sz="0" w:space="0" w:color="auto"/>
                        <w:left w:val="none" w:sz="0" w:space="0" w:color="auto"/>
                        <w:bottom w:val="none" w:sz="0" w:space="0" w:color="auto"/>
                        <w:right w:val="none" w:sz="0" w:space="0" w:color="auto"/>
                      </w:divBdr>
                    </w:div>
                  </w:divsChild>
                </w:div>
                <w:div w:id="1754276454">
                  <w:marLeft w:val="0"/>
                  <w:marRight w:val="0"/>
                  <w:marTop w:val="0"/>
                  <w:marBottom w:val="0"/>
                  <w:divBdr>
                    <w:top w:val="none" w:sz="0" w:space="0" w:color="auto"/>
                    <w:left w:val="none" w:sz="0" w:space="0" w:color="auto"/>
                    <w:bottom w:val="none" w:sz="0" w:space="0" w:color="auto"/>
                    <w:right w:val="none" w:sz="0" w:space="0" w:color="auto"/>
                  </w:divBdr>
                  <w:divsChild>
                    <w:div w:id="130858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0130">
          <w:marLeft w:val="0"/>
          <w:marRight w:val="0"/>
          <w:marTop w:val="0"/>
          <w:marBottom w:val="0"/>
          <w:divBdr>
            <w:top w:val="none" w:sz="0" w:space="0" w:color="auto"/>
            <w:left w:val="none" w:sz="0" w:space="0" w:color="auto"/>
            <w:bottom w:val="none" w:sz="0" w:space="0" w:color="auto"/>
            <w:right w:val="none" w:sz="0" w:space="0" w:color="auto"/>
          </w:divBdr>
          <w:divsChild>
            <w:div w:id="163667660">
              <w:marLeft w:val="-75"/>
              <w:marRight w:val="0"/>
              <w:marTop w:val="30"/>
              <w:marBottom w:val="30"/>
              <w:divBdr>
                <w:top w:val="none" w:sz="0" w:space="0" w:color="auto"/>
                <w:left w:val="none" w:sz="0" w:space="0" w:color="auto"/>
                <w:bottom w:val="none" w:sz="0" w:space="0" w:color="auto"/>
                <w:right w:val="none" w:sz="0" w:space="0" w:color="auto"/>
              </w:divBdr>
              <w:divsChild>
                <w:div w:id="193035187">
                  <w:marLeft w:val="0"/>
                  <w:marRight w:val="0"/>
                  <w:marTop w:val="0"/>
                  <w:marBottom w:val="0"/>
                  <w:divBdr>
                    <w:top w:val="none" w:sz="0" w:space="0" w:color="auto"/>
                    <w:left w:val="none" w:sz="0" w:space="0" w:color="auto"/>
                    <w:bottom w:val="none" w:sz="0" w:space="0" w:color="auto"/>
                    <w:right w:val="none" w:sz="0" w:space="0" w:color="auto"/>
                  </w:divBdr>
                  <w:divsChild>
                    <w:div w:id="876963691">
                      <w:marLeft w:val="0"/>
                      <w:marRight w:val="0"/>
                      <w:marTop w:val="0"/>
                      <w:marBottom w:val="0"/>
                      <w:divBdr>
                        <w:top w:val="none" w:sz="0" w:space="0" w:color="auto"/>
                        <w:left w:val="none" w:sz="0" w:space="0" w:color="auto"/>
                        <w:bottom w:val="none" w:sz="0" w:space="0" w:color="auto"/>
                        <w:right w:val="none" w:sz="0" w:space="0" w:color="auto"/>
                      </w:divBdr>
                    </w:div>
                  </w:divsChild>
                </w:div>
                <w:div w:id="701326391">
                  <w:marLeft w:val="0"/>
                  <w:marRight w:val="0"/>
                  <w:marTop w:val="0"/>
                  <w:marBottom w:val="0"/>
                  <w:divBdr>
                    <w:top w:val="none" w:sz="0" w:space="0" w:color="auto"/>
                    <w:left w:val="none" w:sz="0" w:space="0" w:color="auto"/>
                    <w:bottom w:val="none" w:sz="0" w:space="0" w:color="auto"/>
                    <w:right w:val="none" w:sz="0" w:space="0" w:color="auto"/>
                  </w:divBdr>
                  <w:divsChild>
                    <w:div w:id="1072503204">
                      <w:marLeft w:val="0"/>
                      <w:marRight w:val="0"/>
                      <w:marTop w:val="0"/>
                      <w:marBottom w:val="0"/>
                      <w:divBdr>
                        <w:top w:val="none" w:sz="0" w:space="0" w:color="auto"/>
                        <w:left w:val="none" w:sz="0" w:space="0" w:color="auto"/>
                        <w:bottom w:val="none" w:sz="0" w:space="0" w:color="auto"/>
                        <w:right w:val="none" w:sz="0" w:space="0" w:color="auto"/>
                      </w:divBdr>
                    </w:div>
                  </w:divsChild>
                </w:div>
                <w:div w:id="1204904036">
                  <w:marLeft w:val="0"/>
                  <w:marRight w:val="0"/>
                  <w:marTop w:val="0"/>
                  <w:marBottom w:val="0"/>
                  <w:divBdr>
                    <w:top w:val="none" w:sz="0" w:space="0" w:color="auto"/>
                    <w:left w:val="none" w:sz="0" w:space="0" w:color="auto"/>
                    <w:bottom w:val="none" w:sz="0" w:space="0" w:color="auto"/>
                    <w:right w:val="none" w:sz="0" w:space="0" w:color="auto"/>
                  </w:divBdr>
                  <w:divsChild>
                    <w:div w:id="7897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434845">
          <w:marLeft w:val="0"/>
          <w:marRight w:val="0"/>
          <w:marTop w:val="0"/>
          <w:marBottom w:val="0"/>
          <w:divBdr>
            <w:top w:val="none" w:sz="0" w:space="0" w:color="auto"/>
            <w:left w:val="none" w:sz="0" w:space="0" w:color="auto"/>
            <w:bottom w:val="none" w:sz="0" w:space="0" w:color="auto"/>
            <w:right w:val="none" w:sz="0" w:space="0" w:color="auto"/>
          </w:divBdr>
          <w:divsChild>
            <w:div w:id="1569998294">
              <w:marLeft w:val="-75"/>
              <w:marRight w:val="0"/>
              <w:marTop w:val="30"/>
              <w:marBottom w:val="30"/>
              <w:divBdr>
                <w:top w:val="none" w:sz="0" w:space="0" w:color="auto"/>
                <w:left w:val="none" w:sz="0" w:space="0" w:color="auto"/>
                <w:bottom w:val="none" w:sz="0" w:space="0" w:color="auto"/>
                <w:right w:val="none" w:sz="0" w:space="0" w:color="auto"/>
              </w:divBdr>
              <w:divsChild>
                <w:div w:id="454908641">
                  <w:marLeft w:val="0"/>
                  <w:marRight w:val="0"/>
                  <w:marTop w:val="0"/>
                  <w:marBottom w:val="0"/>
                  <w:divBdr>
                    <w:top w:val="none" w:sz="0" w:space="0" w:color="auto"/>
                    <w:left w:val="none" w:sz="0" w:space="0" w:color="auto"/>
                    <w:bottom w:val="none" w:sz="0" w:space="0" w:color="auto"/>
                    <w:right w:val="none" w:sz="0" w:space="0" w:color="auto"/>
                  </w:divBdr>
                  <w:divsChild>
                    <w:div w:id="1352758691">
                      <w:marLeft w:val="0"/>
                      <w:marRight w:val="0"/>
                      <w:marTop w:val="0"/>
                      <w:marBottom w:val="0"/>
                      <w:divBdr>
                        <w:top w:val="none" w:sz="0" w:space="0" w:color="auto"/>
                        <w:left w:val="none" w:sz="0" w:space="0" w:color="auto"/>
                        <w:bottom w:val="none" w:sz="0" w:space="0" w:color="auto"/>
                        <w:right w:val="none" w:sz="0" w:space="0" w:color="auto"/>
                      </w:divBdr>
                    </w:div>
                  </w:divsChild>
                </w:div>
                <w:div w:id="825971706">
                  <w:marLeft w:val="0"/>
                  <w:marRight w:val="0"/>
                  <w:marTop w:val="0"/>
                  <w:marBottom w:val="0"/>
                  <w:divBdr>
                    <w:top w:val="none" w:sz="0" w:space="0" w:color="auto"/>
                    <w:left w:val="none" w:sz="0" w:space="0" w:color="auto"/>
                    <w:bottom w:val="none" w:sz="0" w:space="0" w:color="auto"/>
                    <w:right w:val="none" w:sz="0" w:space="0" w:color="auto"/>
                  </w:divBdr>
                  <w:divsChild>
                    <w:div w:id="1901137265">
                      <w:marLeft w:val="0"/>
                      <w:marRight w:val="0"/>
                      <w:marTop w:val="0"/>
                      <w:marBottom w:val="0"/>
                      <w:divBdr>
                        <w:top w:val="none" w:sz="0" w:space="0" w:color="auto"/>
                        <w:left w:val="none" w:sz="0" w:space="0" w:color="auto"/>
                        <w:bottom w:val="none" w:sz="0" w:space="0" w:color="auto"/>
                        <w:right w:val="none" w:sz="0" w:space="0" w:color="auto"/>
                      </w:divBdr>
                    </w:div>
                  </w:divsChild>
                </w:div>
                <w:div w:id="871918341">
                  <w:marLeft w:val="0"/>
                  <w:marRight w:val="0"/>
                  <w:marTop w:val="0"/>
                  <w:marBottom w:val="0"/>
                  <w:divBdr>
                    <w:top w:val="none" w:sz="0" w:space="0" w:color="auto"/>
                    <w:left w:val="none" w:sz="0" w:space="0" w:color="auto"/>
                    <w:bottom w:val="none" w:sz="0" w:space="0" w:color="auto"/>
                    <w:right w:val="none" w:sz="0" w:space="0" w:color="auto"/>
                  </w:divBdr>
                  <w:divsChild>
                    <w:div w:id="368378231">
                      <w:marLeft w:val="0"/>
                      <w:marRight w:val="0"/>
                      <w:marTop w:val="0"/>
                      <w:marBottom w:val="0"/>
                      <w:divBdr>
                        <w:top w:val="none" w:sz="0" w:space="0" w:color="auto"/>
                        <w:left w:val="none" w:sz="0" w:space="0" w:color="auto"/>
                        <w:bottom w:val="none" w:sz="0" w:space="0" w:color="auto"/>
                        <w:right w:val="none" w:sz="0" w:space="0" w:color="auto"/>
                      </w:divBdr>
                    </w:div>
                  </w:divsChild>
                </w:div>
                <w:div w:id="1600218102">
                  <w:marLeft w:val="0"/>
                  <w:marRight w:val="0"/>
                  <w:marTop w:val="0"/>
                  <w:marBottom w:val="0"/>
                  <w:divBdr>
                    <w:top w:val="none" w:sz="0" w:space="0" w:color="auto"/>
                    <w:left w:val="none" w:sz="0" w:space="0" w:color="auto"/>
                    <w:bottom w:val="none" w:sz="0" w:space="0" w:color="auto"/>
                    <w:right w:val="none" w:sz="0" w:space="0" w:color="auto"/>
                  </w:divBdr>
                  <w:divsChild>
                    <w:div w:id="22290917">
                      <w:marLeft w:val="0"/>
                      <w:marRight w:val="0"/>
                      <w:marTop w:val="0"/>
                      <w:marBottom w:val="0"/>
                      <w:divBdr>
                        <w:top w:val="none" w:sz="0" w:space="0" w:color="auto"/>
                        <w:left w:val="none" w:sz="0" w:space="0" w:color="auto"/>
                        <w:bottom w:val="none" w:sz="0" w:space="0" w:color="auto"/>
                        <w:right w:val="none" w:sz="0" w:space="0" w:color="auto"/>
                      </w:divBdr>
                    </w:div>
                  </w:divsChild>
                </w:div>
                <w:div w:id="1609967042">
                  <w:marLeft w:val="0"/>
                  <w:marRight w:val="0"/>
                  <w:marTop w:val="0"/>
                  <w:marBottom w:val="0"/>
                  <w:divBdr>
                    <w:top w:val="none" w:sz="0" w:space="0" w:color="auto"/>
                    <w:left w:val="none" w:sz="0" w:space="0" w:color="auto"/>
                    <w:bottom w:val="none" w:sz="0" w:space="0" w:color="auto"/>
                    <w:right w:val="none" w:sz="0" w:space="0" w:color="auto"/>
                  </w:divBdr>
                  <w:divsChild>
                    <w:div w:id="1323704325">
                      <w:marLeft w:val="0"/>
                      <w:marRight w:val="0"/>
                      <w:marTop w:val="0"/>
                      <w:marBottom w:val="0"/>
                      <w:divBdr>
                        <w:top w:val="none" w:sz="0" w:space="0" w:color="auto"/>
                        <w:left w:val="none" w:sz="0" w:space="0" w:color="auto"/>
                        <w:bottom w:val="none" w:sz="0" w:space="0" w:color="auto"/>
                        <w:right w:val="none" w:sz="0" w:space="0" w:color="auto"/>
                      </w:divBdr>
                    </w:div>
                  </w:divsChild>
                </w:div>
                <w:div w:id="1651207592">
                  <w:marLeft w:val="0"/>
                  <w:marRight w:val="0"/>
                  <w:marTop w:val="0"/>
                  <w:marBottom w:val="0"/>
                  <w:divBdr>
                    <w:top w:val="none" w:sz="0" w:space="0" w:color="auto"/>
                    <w:left w:val="none" w:sz="0" w:space="0" w:color="auto"/>
                    <w:bottom w:val="none" w:sz="0" w:space="0" w:color="auto"/>
                    <w:right w:val="none" w:sz="0" w:space="0" w:color="auto"/>
                  </w:divBdr>
                  <w:divsChild>
                    <w:div w:id="579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23815">
          <w:marLeft w:val="0"/>
          <w:marRight w:val="0"/>
          <w:marTop w:val="0"/>
          <w:marBottom w:val="0"/>
          <w:divBdr>
            <w:top w:val="none" w:sz="0" w:space="0" w:color="auto"/>
            <w:left w:val="none" w:sz="0" w:space="0" w:color="auto"/>
            <w:bottom w:val="none" w:sz="0" w:space="0" w:color="auto"/>
            <w:right w:val="none" w:sz="0" w:space="0" w:color="auto"/>
          </w:divBdr>
        </w:div>
        <w:div w:id="1505897261">
          <w:marLeft w:val="0"/>
          <w:marRight w:val="0"/>
          <w:marTop w:val="0"/>
          <w:marBottom w:val="0"/>
          <w:divBdr>
            <w:top w:val="none" w:sz="0" w:space="0" w:color="auto"/>
            <w:left w:val="none" w:sz="0" w:space="0" w:color="auto"/>
            <w:bottom w:val="none" w:sz="0" w:space="0" w:color="auto"/>
            <w:right w:val="none" w:sz="0" w:space="0" w:color="auto"/>
          </w:divBdr>
        </w:div>
        <w:div w:id="1598564735">
          <w:marLeft w:val="0"/>
          <w:marRight w:val="0"/>
          <w:marTop w:val="0"/>
          <w:marBottom w:val="0"/>
          <w:divBdr>
            <w:top w:val="none" w:sz="0" w:space="0" w:color="auto"/>
            <w:left w:val="none" w:sz="0" w:space="0" w:color="auto"/>
            <w:bottom w:val="none" w:sz="0" w:space="0" w:color="auto"/>
            <w:right w:val="none" w:sz="0" w:space="0" w:color="auto"/>
          </w:divBdr>
          <w:divsChild>
            <w:div w:id="1098909959">
              <w:marLeft w:val="-75"/>
              <w:marRight w:val="0"/>
              <w:marTop w:val="30"/>
              <w:marBottom w:val="30"/>
              <w:divBdr>
                <w:top w:val="none" w:sz="0" w:space="0" w:color="auto"/>
                <w:left w:val="none" w:sz="0" w:space="0" w:color="auto"/>
                <w:bottom w:val="none" w:sz="0" w:space="0" w:color="auto"/>
                <w:right w:val="none" w:sz="0" w:space="0" w:color="auto"/>
              </w:divBdr>
              <w:divsChild>
                <w:div w:id="122042795">
                  <w:marLeft w:val="0"/>
                  <w:marRight w:val="0"/>
                  <w:marTop w:val="0"/>
                  <w:marBottom w:val="0"/>
                  <w:divBdr>
                    <w:top w:val="none" w:sz="0" w:space="0" w:color="auto"/>
                    <w:left w:val="none" w:sz="0" w:space="0" w:color="auto"/>
                    <w:bottom w:val="none" w:sz="0" w:space="0" w:color="auto"/>
                    <w:right w:val="none" w:sz="0" w:space="0" w:color="auto"/>
                  </w:divBdr>
                  <w:divsChild>
                    <w:div w:id="1345983626">
                      <w:marLeft w:val="0"/>
                      <w:marRight w:val="0"/>
                      <w:marTop w:val="0"/>
                      <w:marBottom w:val="0"/>
                      <w:divBdr>
                        <w:top w:val="none" w:sz="0" w:space="0" w:color="auto"/>
                        <w:left w:val="none" w:sz="0" w:space="0" w:color="auto"/>
                        <w:bottom w:val="none" w:sz="0" w:space="0" w:color="auto"/>
                        <w:right w:val="none" w:sz="0" w:space="0" w:color="auto"/>
                      </w:divBdr>
                    </w:div>
                  </w:divsChild>
                </w:div>
                <w:div w:id="195779246">
                  <w:marLeft w:val="0"/>
                  <w:marRight w:val="0"/>
                  <w:marTop w:val="0"/>
                  <w:marBottom w:val="0"/>
                  <w:divBdr>
                    <w:top w:val="none" w:sz="0" w:space="0" w:color="auto"/>
                    <w:left w:val="none" w:sz="0" w:space="0" w:color="auto"/>
                    <w:bottom w:val="none" w:sz="0" w:space="0" w:color="auto"/>
                    <w:right w:val="none" w:sz="0" w:space="0" w:color="auto"/>
                  </w:divBdr>
                  <w:divsChild>
                    <w:div w:id="921835892">
                      <w:marLeft w:val="0"/>
                      <w:marRight w:val="0"/>
                      <w:marTop w:val="0"/>
                      <w:marBottom w:val="0"/>
                      <w:divBdr>
                        <w:top w:val="none" w:sz="0" w:space="0" w:color="auto"/>
                        <w:left w:val="none" w:sz="0" w:space="0" w:color="auto"/>
                        <w:bottom w:val="none" w:sz="0" w:space="0" w:color="auto"/>
                        <w:right w:val="none" w:sz="0" w:space="0" w:color="auto"/>
                      </w:divBdr>
                    </w:div>
                  </w:divsChild>
                </w:div>
                <w:div w:id="342129043">
                  <w:marLeft w:val="0"/>
                  <w:marRight w:val="0"/>
                  <w:marTop w:val="0"/>
                  <w:marBottom w:val="0"/>
                  <w:divBdr>
                    <w:top w:val="none" w:sz="0" w:space="0" w:color="auto"/>
                    <w:left w:val="none" w:sz="0" w:space="0" w:color="auto"/>
                    <w:bottom w:val="none" w:sz="0" w:space="0" w:color="auto"/>
                    <w:right w:val="none" w:sz="0" w:space="0" w:color="auto"/>
                  </w:divBdr>
                  <w:divsChild>
                    <w:div w:id="1011686429">
                      <w:marLeft w:val="0"/>
                      <w:marRight w:val="0"/>
                      <w:marTop w:val="0"/>
                      <w:marBottom w:val="0"/>
                      <w:divBdr>
                        <w:top w:val="none" w:sz="0" w:space="0" w:color="auto"/>
                        <w:left w:val="none" w:sz="0" w:space="0" w:color="auto"/>
                        <w:bottom w:val="none" w:sz="0" w:space="0" w:color="auto"/>
                        <w:right w:val="none" w:sz="0" w:space="0" w:color="auto"/>
                      </w:divBdr>
                    </w:div>
                  </w:divsChild>
                </w:div>
                <w:div w:id="432358785">
                  <w:marLeft w:val="0"/>
                  <w:marRight w:val="0"/>
                  <w:marTop w:val="0"/>
                  <w:marBottom w:val="0"/>
                  <w:divBdr>
                    <w:top w:val="none" w:sz="0" w:space="0" w:color="auto"/>
                    <w:left w:val="none" w:sz="0" w:space="0" w:color="auto"/>
                    <w:bottom w:val="none" w:sz="0" w:space="0" w:color="auto"/>
                    <w:right w:val="none" w:sz="0" w:space="0" w:color="auto"/>
                  </w:divBdr>
                  <w:divsChild>
                    <w:div w:id="1074888323">
                      <w:marLeft w:val="0"/>
                      <w:marRight w:val="0"/>
                      <w:marTop w:val="0"/>
                      <w:marBottom w:val="0"/>
                      <w:divBdr>
                        <w:top w:val="none" w:sz="0" w:space="0" w:color="auto"/>
                        <w:left w:val="none" w:sz="0" w:space="0" w:color="auto"/>
                        <w:bottom w:val="none" w:sz="0" w:space="0" w:color="auto"/>
                        <w:right w:val="none" w:sz="0" w:space="0" w:color="auto"/>
                      </w:divBdr>
                    </w:div>
                  </w:divsChild>
                </w:div>
                <w:div w:id="480316264">
                  <w:marLeft w:val="0"/>
                  <w:marRight w:val="0"/>
                  <w:marTop w:val="0"/>
                  <w:marBottom w:val="0"/>
                  <w:divBdr>
                    <w:top w:val="none" w:sz="0" w:space="0" w:color="auto"/>
                    <w:left w:val="none" w:sz="0" w:space="0" w:color="auto"/>
                    <w:bottom w:val="none" w:sz="0" w:space="0" w:color="auto"/>
                    <w:right w:val="none" w:sz="0" w:space="0" w:color="auto"/>
                  </w:divBdr>
                  <w:divsChild>
                    <w:div w:id="2072847493">
                      <w:marLeft w:val="0"/>
                      <w:marRight w:val="0"/>
                      <w:marTop w:val="0"/>
                      <w:marBottom w:val="0"/>
                      <w:divBdr>
                        <w:top w:val="none" w:sz="0" w:space="0" w:color="auto"/>
                        <w:left w:val="none" w:sz="0" w:space="0" w:color="auto"/>
                        <w:bottom w:val="none" w:sz="0" w:space="0" w:color="auto"/>
                        <w:right w:val="none" w:sz="0" w:space="0" w:color="auto"/>
                      </w:divBdr>
                    </w:div>
                  </w:divsChild>
                </w:div>
                <w:div w:id="547377155">
                  <w:marLeft w:val="0"/>
                  <w:marRight w:val="0"/>
                  <w:marTop w:val="0"/>
                  <w:marBottom w:val="0"/>
                  <w:divBdr>
                    <w:top w:val="none" w:sz="0" w:space="0" w:color="auto"/>
                    <w:left w:val="none" w:sz="0" w:space="0" w:color="auto"/>
                    <w:bottom w:val="none" w:sz="0" w:space="0" w:color="auto"/>
                    <w:right w:val="none" w:sz="0" w:space="0" w:color="auto"/>
                  </w:divBdr>
                  <w:divsChild>
                    <w:div w:id="676422557">
                      <w:marLeft w:val="0"/>
                      <w:marRight w:val="0"/>
                      <w:marTop w:val="0"/>
                      <w:marBottom w:val="0"/>
                      <w:divBdr>
                        <w:top w:val="none" w:sz="0" w:space="0" w:color="auto"/>
                        <w:left w:val="none" w:sz="0" w:space="0" w:color="auto"/>
                        <w:bottom w:val="none" w:sz="0" w:space="0" w:color="auto"/>
                        <w:right w:val="none" w:sz="0" w:space="0" w:color="auto"/>
                      </w:divBdr>
                    </w:div>
                  </w:divsChild>
                </w:div>
                <w:div w:id="548305246">
                  <w:marLeft w:val="0"/>
                  <w:marRight w:val="0"/>
                  <w:marTop w:val="0"/>
                  <w:marBottom w:val="0"/>
                  <w:divBdr>
                    <w:top w:val="none" w:sz="0" w:space="0" w:color="auto"/>
                    <w:left w:val="none" w:sz="0" w:space="0" w:color="auto"/>
                    <w:bottom w:val="none" w:sz="0" w:space="0" w:color="auto"/>
                    <w:right w:val="none" w:sz="0" w:space="0" w:color="auto"/>
                  </w:divBdr>
                  <w:divsChild>
                    <w:div w:id="789128382">
                      <w:marLeft w:val="0"/>
                      <w:marRight w:val="0"/>
                      <w:marTop w:val="0"/>
                      <w:marBottom w:val="0"/>
                      <w:divBdr>
                        <w:top w:val="none" w:sz="0" w:space="0" w:color="auto"/>
                        <w:left w:val="none" w:sz="0" w:space="0" w:color="auto"/>
                        <w:bottom w:val="none" w:sz="0" w:space="0" w:color="auto"/>
                        <w:right w:val="none" w:sz="0" w:space="0" w:color="auto"/>
                      </w:divBdr>
                    </w:div>
                  </w:divsChild>
                </w:div>
                <w:div w:id="633868792">
                  <w:marLeft w:val="0"/>
                  <w:marRight w:val="0"/>
                  <w:marTop w:val="0"/>
                  <w:marBottom w:val="0"/>
                  <w:divBdr>
                    <w:top w:val="none" w:sz="0" w:space="0" w:color="auto"/>
                    <w:left w:val="none" w:sz="0" w:space="0" w:color="auto"/>
                    <w:bottom w:val="none" w:sz="0" w:space="0" w:color="auto"/>
                    <w:right w:val="none" w:sz="0" w:space="0" w:color="auto"/>
                  </w:divBdr>
                  <w:divsChild>
                    <w:div w:id="1444225821">
                      <w:marLeft w:val="0"/>
                      <w:marRight w:val="0"/>
                      <w:marTop w:val="0"/>
                      <w:marBottom w:val="0"/>
                      <w:divBdr>
                        <w:top w:val="none" w:sz="0" w:space="0" w:color="auto"/>
                        <w:left w:val="none" w:sz="0" w:space="0" w:color="auto"/>
                        <w:bottom w:val="none" w:sz="0" w:space="0" w:color="auto"/>
                        <w:right w:val="none" w:sz="0" w:space="0" w:color="auto"/>
                      </w:divBdr>
                    </w:div>
                  </w:divsChild>
                </w:div>
                <w:div w:id="969945277">
                  <w:marLeft w:val="0"/>
                  <w:marRight w:val="0"/>
                  <w:marTop w:val="0"/>
                  <w:marBottom w:val="0"/>
                  <w:divBdr>
                    <w:top w:val="none" w:sz="0" w:space="0" w:color="auto"/>
                    <w:left w:val="none" w:sz="0" w:space="0" w:color="auto"/>
                    <w:bottom w:val="none" w:sz="0" w:space="0" w:color="auto"/>
                    <w:right w:val="none" w:sz="0" w:space="0" w:color="auto"/>
                  </w:divBdr>
                  <w:divsChild>
                    <w:div w:id="990016291">
                      <w:marLeft w:val="0"/>
                      <w:marRight w:val="0"/>
                      <w:marTop w:val="0"/>
                      <w:marBottom w:val="0"/>
                      <w:divBdr>
                        <w:top w:val="none" w:sz="0" w:space="0" w:color="auto"/>
                        <w:left w:val="none" w:sz="0" w:space="0" w:color="auto"/>
                        <w:bottom w:val="none" w:sz="0" w:space="0" w:color="auto"/>
                        <w:right w:val="none" w:sz="0" w:space="0" w:color="auto"/>
                      </w:divBdr>
                    </w:div>
                  </w:divsChild>
                </w:div>
                <w:div w:id="1076711995">
                  <w:marLeft w:val="0"/>
                  <w:marRight w:val="0"/>
                  <w:marTop w:val="0"/>
                  <w:marBottom w:val="0"/>
                  <w:divBdr>
                    <w:top w:val="none" w:sz="0" w:space="0" w:color="auto"/>
                    <w:left w:val="none" w:sz="0" w:space="0" w:color="auto"/>
                    <w:bottom w:val="none" w:sz="0" w:space="0" w:color="auto"/>
                    <w:right w:val="none" w:sz="0" w:space="0" w:color="auto"/>
                  </w:divBdr>
                  <w:divsChild>
                    <w:div w:id="951471651">
                      <w:marLeft w:val="0"/>
                      <w:marRight w:val="0"/>
                      <w:marTop w:val="0"/>
                      <w:marBottom w:val="0"/>
                      <w:divBdr>
                        <w:top w:val="none" w:sz="0" w:space="0" w:color="auto"/>
                        <w:left w:val="none" w:sz="0" w:space="0" w:color="auto"/>
                        <w:bottom w:val="none" w:sz="0" w:space="0" w:color="auto"/>
                        <w:right w:val="none" w:sz="0" w:space="0" w:color="auto"/>
                      </w:divBdr>
                    </w:div>
                  </w:divsChild>
                </w:div>
                <w:div w:id="1218325184">
                  <w:marLeft w:val="0"/>
                  <w:marRight w:val="0"/>
                  <w:marTop w:val="0"/>
                  <w:marBottom w:val="0"/>
                  <w:divBdr>
                    <w:top w:val="none" w:sz="0" w:space="0" w:color="auto"/>
                    <w:left w:val="none" w:sz="0" w:space="0" w:color="auto"/>
                    <w:bottom w:val="none" w:sz="0" w:space="0" w:color="auto"/>
                    <w:right w:val="none" w:sz="0" w:space="0" w:color="auto"/>
                  </w:divBdr>
                  <w:divsChild>
                    <w:div w:id="1830749026">
                      <w:marLeft w:val="0"/>
                      <w:marRight w:val="0"/>
                      <w:marTop w:val="0"/>
                      <w:marBottom w:val="0"/>
                      <w:divBdr>
                        <w:top w:val="none" w:sz="0" w:space="0" w:color="auto"/>
                        <w:left w:val="none" w:sz="0" w:space="0" w:color="auto"/>
                        <w:bottom w:val="none" w:sz="0" w:space="0" w:color="auto"/>
                        <w:right w:val="none" w:sz="0" w:space="0" w:color="auto"/>
                      </w:divBdr>
                    </w:div>
                  </w:divsChild>
                </w:div>
                <w:div w:id="1238515321">
                  <w:marLeft w:val="0"/>
                  <w:marRight w:val="0"/>
                  <w:marTop w:val="0"/>
                  <w:marBottom w:val="0"/>
                  <w:divBdr>
                    <w:top w:val="none" w:sz="0" w:space="0" w:color="auto"/>
                    <w:left w:val="none" w:sz="0" w:space="0" w:color="auto"/>
                    <w:bottom w:val="none" w:sz="0" w:space="0" w:color="auto"/>
                    <w:right w:val="none" w:sz="0" w:space="0" w:color="auto"/>
                  </w:divBdr>
                  <w:divsChild>
                    <w:div w:id="456484823">
                      <w:marLeft w:val="0"/>
                      <w:marRight w:val="0"/>
                      <w:marTop w:val="0"/>
                      <w:marBottom w:val="0"/>
                      <w:divBdr>
                        <w:top w:val="none" w:sz="0" w:space="0" w:color="auto"/>
                        <w:left w:val="none" w:sz="0" w:space="0" w:color="auto"/>
                        <w:bottom w:val="none" w:sz="0" w:space="0" w:color="auto"/>
                        <w:right w:val="none" w:sz="0" w:space="0" w:color="auto"/>
                      </w:divBdr>
                    </w:div>
                  </w:divsChild>
                </w:div>
                <w:div w:id="1369647155">
                  <w:marLeft w:val="0"/>
                  <w:marRight w:val="0"/>
                  <w:marTop w:val="0"/>
                  <w:marBottom w:val="0"/>
                  <w:divBdr>
                    <w:top w:val="none" w:sz="0" w:space="0" w:color="auto"/>
                    <w:left w:val="none" w:sz="0" w:space="0" w:color="auto"/>
                    <w:bottom w:val="none" w:sz="0" w:space="0" w:color="auto"/>
                    <w:right w:val="none" w:sz="0" w:space="0" w:color="auto"/>
                  </w:divBdr>
                  <w:divsChild>
                    <w:div w:id="276253546">
                      <w:marLeft w:val="0"/>
                      <w:marRight w:val="0"/>
                      <w:marTop w:val="0"/>
                      <w:marBottom w:val="0"/>
                      <w:divBdr>
                        <w:top w:val="none" w:sz="0" w:space="0" w:color="auto"/>
                        <w:left w:val="none" w:sz="0" w:space="0" w:color="auto"/>
                        <w:bottom w:val="none" w:sz="0" w:space="0" w:color="auto"/>
                        <w:right w:val="none" w:sz="0" w:space="0" w:color="auto"/>
                      </w:divBdr>
                    </w:div>
                  </w:divsChild>
                </w:div>
                <w:div w:id="1375042832">
                  <w:marLeft w:val="0"/>
                  <w:marRight w:val="0"/>
                  <w:marTop w:val="0"/>
                  <w:marBottom w:val="0"/>
                  <w:divBdr>
                    <w:top w:val="none" w:sz="0" w:space="0" w:color="auto"/>
                    <w:left w:val="none" w:sz="0" w:space="0" w:color="auto"/>
                    <w:bottom w:val="none" w:sz="0" w:space="0" w:color="auto"/>
                    <w:right w:val="none" w:sz="0" w:space="0" w:color="auto"/>
                  </w:divBdr>
                  <w:divsChild>
                    <w:div w:id="1908805001">
                      <w:marLeft w:val="0"/>
                      <w:marRight w:val="0"/>
                      <w:marTop w:val="0"/>
                      <w:marBottom w:val="0"/>
                      <w:divBdr>
                        <w:top w:val="none" w:sz="0" w:space="0" w:color="auto"/>
                        <w:left w:val="none" w:sz="0" w:space="0" w:color="auto"/>
                        <w:bottom w:val="none" w:sz="0" w:space="0" w:color="auto"/>
                        <w:right w:val="none" w:sz="0" w:space="0" w:color="auto"/>
                      </w:divBdr>
                    </w:div>
                  </w:divsChild>
                </w:div>
                <w:div w:id="1511991721">
                  <w:marLeft w:val="0"/>
                  <w:marRight w:val="0"/>
                  <w:marTop w:val="0"/>
                  <w:marBottom w:val="0"/>
                  <w:divBdr>
                    <w:top w:val="none" w:sz="0" w:space="0" w:color="auto"/>
                    <w:left w:val="none" w:sz="0" w:space="0" w:color="auto"/>
                    <w:bottom w:val="none" w:sz="0" w:space="0" w:color="auto"/>
                    <w:right w:val="none" w:sz="0" w:space="0" w:color="auto"/>
                  </w:divBdr>
                  <w:divsChild>
                    <w:div w:id="1502045490">
                      <w:marLeft w:val="0"/>
                      <w:marRight w:val="0"/>
                      <w:marTop w:val="0"/>
                      <w:marBottom w:val="0"/>
                      <w:divBdr>
                        <w:top w:val="none" w:sz="0" w:space="0" w:color="auto"/>
                        <w:left w:val="none" w:sz="0" w:space="0" w:color="auto"/>
                        <w:bottom w:val="none" w:sz="0" w:space="0" w:color="auto"/>
                        <w:right w:val="none" w:sz="0" w:space="0" w:color="auto"/>
                      </w:divBdr>
                    </w:div>
                  </w:divsChild>
                </w:div>
                <w:div w:id="1647003086">
                  <w:marLeft w:val="0"/>
                  <w:marRight w:val="0"/>
                  <w:marTop w:val="0"/>
                  <w:marBottom w:val="0"/>
                  <w:divBdr>
                    <w:top w:val="none" w:sz="0" w:space="0" w:color="auto"/>
                    <w:left w:val="none" w:sz="0" w:space="0" w:color="auto"/>
                    <w:bottom w:val="none" w:sz="0" w:space="0" w:color="auto"/>
                    <w:right w:val="none" w:sz="0" w:space="0" w:color="auto"/>
                  </w:divBdr>
                  <w:divsChild>
                    <w:div w:id="1974552013">
                      <w:marLeft w:val="0"/>
                      <w:marRight w:val="0"/>
                      <w:marTop w:val="0"/>
                      <w:marBottom w:val="0"/>
                      <w:divBdr>
                        <w:top w:val="none" w:sz="0" w:space="0" w:color="auto"/>
                        <w:left w:val="none" w:sz="0" w:space="0" w:color="auto"/>
                        <w:bottom w:val="none" w:sz="0" w:space="0" w:color="auto"/>
                        <w:right w:val="none" w:sz="0" w:space="0" w:color="auto"/>
                      </w:divBdr>
                    </w:div>
                  </w:divsChild>
                </w:div>
                <w:div w:id="1673994015">
                  <w:marLeft w:val="0"/>
                  <w:marRight w:val="0"/>
                  <w:marTop w:val="0"/>
                  <w:marBottom w:val="0"/>
                  <w:divBdr>
                    <w:top w:val="none" w:sz="0" w:space="0" w:color="auto"/>
                    <w:left w:val="none" w:sz="0" w:space="0" w:color="auto"/>
                    <w:bottom w:val="none" w:sz="0" w:space="0" w:color="auto"/>
                    <w:right w:val="none" w:sz="0" w:space="0" w:color="auto"/>
                  </w:divBdr>
                  <w:divsChild>
                    <w:div w:id="1640719353">
                      <w:marLeft w:val="0"/>
                      <w:marRight w:val="0"/>
                      <w:marTop w:val="0"/>
                      <w:marBottom w:val="0"/>
                      <w:divBdr>
                        <w:top w:val="none" w:sz="0" w:space="0" w:color="auto"/>
                        <w:left w:val="none" w:sz="0" w:space="0" w:color="auto"/>
                        <w:bottom w:val="none" w:sz="0" w:space="0" w:color="auto"/>
                        <w:right w:val="none" w:sz="0" w:space="0" w:color="auto"/>
                      </w:divBdr>
                    </w:div>
                  </w:divsChild>
                </w:div>
                <w:div w:id="1728071474">
                  <w:marLeft w:val="0"/>
                  <w:marRight w:val="0"/>
                  <w:marTop w:val="0"/>
                  <w:marBottom w:val="0"/>
                  <w:divBdr>
                    <w:top w:val="none" w:sz="0" w:space="0" w:color="auto"/>
                    <w:left w:val="none" w:sz="0" w:space="0" w:color="auto"/>
                    <w:bottom w:val="none" w:sz="0" w:space="0" w:color="auto"/>
                    <w:right w:val="none" w:sz="0" w:space="0" w:color="auto"/>
                  </w:divBdr>
                  <w:divsChild>
                    <w:div w:id="174468972">
                      <w:marLeft w:val="0"/>
                      <w:marRight w:val="0"/>
                      <w:marTop w:val="0"/>
                      <w:marBottom w:val="0"/>
                      <w:divBdr>
                        <w:top w:val="none" w:sz="0" w:space="0" w:color="auto"/>
                        <w:left w:val="none" w:sz="0" w:space="0" w:color="auto"/>
                        <w:bottom w:val="none" w:sz="0" w:space="0" w:color="auto"/>
                        <w:right w:val="none" w:sz="0" w:space="0" w:color="auto"/>
                      </w:divBdr>
                    </w:div>
                  </w:divsChild>
                </w:div>
                <w:div w:id="1841388562">
                  <w:marLeft w:val="0"/>
                  <w:marRight w:val="0"/>
                  <w:marTop w:val="0"/>
                  <w:marBottom w:val="0"/>
                  <w:divBdr>
                    <w:top w:val="none" w:sz="0" w:space="0" w:color="auto"/>
                    <w:left w:val="none" w:sz="0" w:space="0" w:color="auto"/>
                    <w:bottom w:val="none" w:sz="0" w:space="0" w:color="auto"/>
                    <w:right w:val="none" w:sz="0" w:space="0" w:color="auto"/>
                  </w:divBdr>
                  <w:divsChild>
                    <w:div w:id="495726408">
                      <w:marLeft w:val="0"/>
                      <w:marRight w:val="0"/>
                      <w:marTop w:val="0"/>
                      <w:marBottom w:val="0"/>
                      <w:divBdr>
                        <w:top w:val="none" w:sz="0" w:space="0" w:color="auto"/>
                        <w:left w:val="none" w:sz="0" w:space="0" w:color="auto"/>
                        <w:bottom w:val="none" w:sz="0" w:space="0" w:color="auto"/>
                        <w:right w:val="none" w:sz="0" w:space="0" w:color="auto"/>
                      </w:divBdr>
                    </w:div>
                  </w:divsChild>
                </w:div>
                <w:div w:id="2078354116">
                  <w:marLeft w:val="0"/>
                  <w:marRight w:val="0"/>
                  <w:marTop w:val="0"/>
                  <w:marBottom w:val="0"/>
                  <w:divBdr>
                    <w:top w:val="none" w:sz="0" w:space="0" w:color="auto"/>
                    <w:left w:val="none" w:sz="0" w:space="0" w:color="auto"/>
                    <w:bottom w:val="none" w:sz="0" w:space="0" w:color="auto"/>
                    <w:right w:val="none" w:sz="0" w:space="0" w:color="auto"/>
                  </w:divBdr>
                  <w:divsChild>
                    <w:div w:id="526606733">
                      <w:marLeft w:val="0"/>
                      <w:marRight w:val="0"/>
                      <w:marTop w:val="0"/>
                      <w:marBottom w:val="0"/>
                      <w:divBdr>
                        <w:top w:val="none" w:sz="0" w:space="0" w:color="auto"/>
                        <w:left w:val="none" w:sz="0" w:space="0" w:color="auto"/>
                        <w:bottom w:val="none" w:sz="0" w:space="0" w:color="auto"/>
                        <w:right w:val="none" w:sz="0" w:space="0" w:color="auto"/>
                      </w:divBdr>
                    </w:div>
                  </w:divsChild>
                </w:div>
                <w:div w:id="2082438355">
                  <w:marLeft w:val="0"/>
                  <w:marRight w:val="0"/>
                  <w:marTop w:val="0"/>
                  <w:marBottom w:val="0"/>
                  <w:divBdr>
                    <w:top w:val="none" w:sz="0" w:space="0" w:color="auto"/>
                    <w:left w:val="none" w:sz="0" w:space="0" w:color="auto"/>
                    <w:bottom w:val="none" w:sz="0" w:space="0" w:color="auto"/>
                    <w:right w:val="none" w:sz="0" w:space="0" w:color="auto"/>
                  </w:divBdr>
                  <w:divsChild>
                    <w:div w:id="181602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8265">
          <w:marLeft w:val="0"/>
          <w:marRight w:val="0"/>
          <w:marTop w:val="0"/>
          <w:marBottom w:val="0"/>
          <w:divBdr>
            <w:top w:val="none" w:sz="0" w:space="0" w:color="auto"/>
            <w:left w:val="none" w:sz="0" w:space="0" w:color="auto"/>
            <w:bottom w:val="none" w:sz="0" w:space="0" w:color="auto"/>
            <w:right w:val="none" w:sz="0" w:space="0" w:color="auto"/>
          </w:divBdr>
        </w:div>
        <w:div w:id="1718121450">
          <w:marLeft w:val="0"/>
          <w:marRight w:val="0"/>
          <w:marTop w:val="0"/>
          <w:marBottom w:val="0"/>
          <w:divBdr>
            <w:top w:val="none" w:sz="0" w:space="0" w:color="auto"/>
            <w:left w:val="none" w:sz="0" w:space="0" w:color="auto"/>
            <w:bottom w:val="none" w:sz="0" w:space="0" w:color="auto"/>
            <w:right w:val="none" w:sz="0" w:space="0" w:color="auto"/>
          </w:divBdr>
        </w:div>
        <w:div w:id="1749880529">
          <w:marLeft w:val="0"/>
          <w:marRight w:val="0"/>
          <w:marTop w:val="0"/>
          <w:marBottom w:val="0"/>
          <w:divBdr>
            <w:top w:val="none" w:sz="0" w:space="0" w:color="auto"/>
            <w:left w:val="none" w:sz="0" w:space="0" w:color="auto"/>
            <w:bottom w:val="none" w:sz="0" w:space="0" w:color="auto"/>
            <w:right w:val="none" w:sz="0" w:space="0" w:color="auto"/>
          </w:divBdr>
        </w:div>
        <w:div w:id="1845705821">
          <w:marLeft w:val="0"/>
          <w:marRight w:val="0"/>
          <w:marTop w:val="0"/>
          <w:marBottom w:val="0"/>
          <w:divBdr>
            <w:top w:val="none" w:sz="0" w:space="0" w:color="auto"/>
            <w:left w:val="none" w:sz="0" w:space="0" w:color="auto"/>
            <w:bottom w:val="none" w:sz="0" w:space="0" w:color="auto"/>
            <w:right w:val="none" w:sz="0" w:space="0" w:color="auto"/>
          </w:divBdr>
        </w:div>
        <w:div w:id="1887375889">
          <w:marLeft w:val="0"/>
          <w:marRight w:val="0"/>
          <w:marTop w:val="0"/>
          <w:marBottom w:val="0"/>
          <w:divBdr>
            <w:top w:val="none" w:sz="0" w:space="0" w:color="auto"/>
            <w:left w:val="none" w:sz="0" w:space="0" w:color="auto"/>
            <w:bottom w:val="none" w:sz="0" w:space="0" w:color="auto"/>
            <w:right w:val="none" w:sz="0" w:space="0" w:color="auto"/>
          </w:divBdr>
          <w:divsChild>
            <w:div w:id="1105928701">
              <w:marLeft w:val="-75"/>
              <w:marRight w:val="0"/>
              <w:marTop w:val="30"/>
              <w:marBottom w:val="30"/>
              <w:divBdr>
                <w:top w:val="none" w:sz="0" w:space="0" w:color="auto"/>
                <w:left w:val="none" w:sz="0" w:space="0" w:color="auto"/>
                <w:bottom w:val="none" w:sz="0" w:space="0" w:color="auto"/>
                <w:right w:val="none" w:sz="0" w:space="0" w:color="auto"/>
              </w:divBdr>
              <w:divsChild>
                <w:div w:id="11763219">
                  <w:marLeft w:val="0"/>
                  <w:marRight w:val="0"/>
                  <w:marTop w:val="0"/>
                  <w:marBottom w:val="0"/>
                  <w:divBdr>
                    <w:top w:val="none" w:sz="0" w:space="0" w:color="auto"/>
                    <w:left w:val="none" w:sz="0" w:space="0" w:color="auto"/>
                    <w:bottom w:val="none" w:sz="0" w:space="0" w:color="auto"/>
                    <w:right w:val="none" w:sz="0" w:space="0" w:color="auto"/>
                  </w:divBdr>
                  <w:divsChild>
                    <w:div w:id="1013265098">
                      <w:marLeft w:val="0"/>
                      <w:marRight w:val="0"/>
                      <w:marTop w:val="0"/>
                      <w:marBottom w:val="0"/>
                      <w:divBdr>
                        <w:top w:val="none" w:sz="0" w:space="0" w:color="auto"/>
                        <w:left w:val="none" w:sz="0" w:space="0" w:color="auto"/>
                        <w:bottom w:val="none" w:sz="0" w:space="0" w:color="auto"/>
                        <w:right w:val="none" w:sz="0" w:space="0" w:color="auto"/>
                      </w:divBdr>
                    </w:div>
                  </w:divsChild>
                </w:div>
                <w:div w:id="120656737">
                  <w:marLeft w:val="0"/>
                  <w:marRight w:val="0"/>
                  <w:marTop w:val="0"/>
                  <w:marBottom w:val="0"/>
                  <w:divBdr>
                    <w:top w:val="none" w:sz="0" w:space="0" w:color="auto"/>
                    <w:left w:val="none" w:sz="0" w:space="0" w:color="auto"/>
                    <w:bottom w:val="none" w:sz="0" w:space="0" w:color="auto"/>
                    <w:right w:val="none" w:sz="0" w:space="0" w:color="auto"/>
                  </w:divBdr>
                  <w:divsChild>
                    <w:div w:id="790319093">
                      <w:marLeft w:val="0"/>
                      <w:marRight w:val="0"/>
                      <w:marTop w:val="0"/>
                      <w:marBottom w:val="0"/>
                      <w:divBdr>
                        <w:top w:val="none" w:sz="0" w:space="0" w:color="auto"/>
                        <w:left w:val="none" w:sz="0" w:space="0" w:color="auto"/>
                        <w:bottom w:val="none" w:sz="0" w:space="0" w:color="auto"/>
                        <w:right w:val="none" w:sz="0" w:space="0" w:color="auto"/>
                      </w:divBdr>
                    </w:div>
                  </w:divsChild>
                </w:div>
                <w:div w:id="136801180">
                  <w:marLeft w:val="0"/>
                  <w:marRight w:val="0"/>
                  <w:marTop w:val="0"/>
                  <w:marBottom w:val="0"/>
                  <w:divBdr>
                    <w:top w:val="none" w:sz="0" w:space="0" w:color="auto"/>
                    <w:left w:val="none" w:sz="0" w:space="0" w:color="auto"/>
                    <w:bottom w:val="none" w:sz="0" w:space="0" w:color="auto"/>
                    <w:right w:val="none" w:sz="0" w:space="0" w:color="auto"/>
                  </w:divBdr>
                  <w:divsChild>
                    <w:div w:id="285887797">
                      <w:marLeft w:val="0"/>
                      <w:marRight w:val="0"/>
                      <w:marTop w:val="0"/>
                      <w:marBottom w:val="0"/>
                      <w:divBdr>
                        <w:top w:val="none" w:sz="0" w:space="0" w:color="auto"/>
                        <w:left w:val="none" w:sz="0" w:space="0" w:color="auto"/>
                        <w:bottom w:val="none" w:sz="0" w:space="0" w:color="auto"/>
                        <w:right w:val="none" w:sz="0" w:space="0" w:color="auto"/>
                      </w:divBdr>
                    </w:div>
                  </w:divsChild>
                </w:div>
                <w:div w:id="176314979">
                  <w:marLeft w:val="0"/>
                  <w:marRight w:val="0"/>
                  <w:marTop w:val="0"/>
                  <w:marBottom w:val="0"/>
                  <w:divBdr>
                    <w:top w:val="none" w:sz="0" w:space="0" w:color="auto"/>
                    <w:left w:val="none" w:sz="0" w:space="0" w:color="auto"/>
                    <w:bottom w:val="none" w:sz="0" w:space="0" w:color="auto"/>
                    <w:right w:val="none" w:sz="0" w:space="0" w:color="auto"/>
                  </w:divBdr>
                  <w:divsChild>
                    <w:div w:id="636684472">
                      <w:marLeft w:val="0"/>
                      <w:marRight w:val="0"/>
                      <w:marTop w:val="0"/>
                      <w:marBottom w:val="0"/>
                      <w:divBdr>
                        <w:top w:val="none" w:sz="0" w:space="0" w:color="auto"/>
                        <w:left w:val="none" w:sz="0" w:space="0" w:color="auto"/>
                        <w:bottom w:val="none" w:sz="0" w:space="0" w:color="auto"/>
                        <w:right w:val="none" w:sz="0" w:space="0" w:color="auto"/>
                      </w:divBdr>
                    </w:div>
                  </w:divsChild>
                </w:div>
                <w:div w:id="786388979">
                  <w:marLeft w:val="0"/>
                  <w:marRight w:val="0"/>
                  <w:marTop w:val="0"/>
                  <w:marBottom w:val="0"/>
                  <w:divBdr>
                    <w:top w:val="none" w:sz="0" w:space="0" w:color="auto"/>
                    <w:left w:val="none" w:sz="0" w:space="0" w:color="auto"/>
                    <w:bottom w:val="none" w:sz="0" w:space="0" w:color="auto"/>
                    <w:right w:val="none" w:sz="0" w:space="0" w:color="auto"/>
                  </w:divBdr>
                  <w:divsChild>
                    <w:div w:id="2004579921">
                      <w:marLeft w:val="0"/>
                      <w:marRight w:val="0"/>
                      <w:marTop w:val="0"/>
                      <w:marBottom w:val="0"/>
                      <w:divBdr>
                        <w:top w:val="none" w:sz="0" w:space="0" w:color="auto"/>
                        <w:left w:val="none" w:sz="0" w:space="0" w:color="auto"/>
                        <w:bottom w:val="none" w:sz="0" w:space="0" w:color="auto"/>
                        <w:right w:val="none" w:sz="0" w:space="0" w:color="auto"/>
                      </w:divBdr>
                    </w:div>
                  </w:divsChild>
                </w:div>
                <w:div w:id="1066612511">
                  <w:marLeft w:val="0"/>
                  <w:marRight w:val="0"/>
                  <w:marTop w:val="0"/>
                  <w:marBottom w:val="0"/>
                  <w:divBdr>
                    <w:top w:val="none" w:sz="0" w:space="0" w:color="auto"/>
                    <w:left w:val="none" w:sz="0" w:space="0" w:color="auto"/>
                    <w:bottom w:val="none" w:sz="0" w:space="0" w:color="auto"/>
                    <w:right w:val="none" w:sz="0" w:space="0" w:color="auto"/>
                  </w:divBdr>
                  <w:divsChild>
                    <w:div w:id="1147280905">
                      <w:marLeft w:val="0"/>
                      <w:marRight w:val="0"/>
                      <w:marTop w:val="0"/>
                      <w:marBottom w:val="0"/>
                      <w:divBdr>
                        <w:top w:val="none" w:sz="0" w:space="0" w:color="auto"/>
                        <w:left w:val="none" w:sz="0" w:space="0" w:color="auto"/>
                        <w:bottom w:val="none" w:sz="0" w:space="0" w:color="auto"/>
                        <w:right w:val="none" w:sz="0" w:space="0" w:color="auto"/>
                      </w:divBdr>
                    </w:div>
                  </w:divsChild>
                </w:div>
                <w:div w:id="1085804572">
                  <w:marLeft w:val="0"/>
                  <w:marRight w:val="0"/>
                  <w:marTop w:val="0"/>
                  <w:marBottom w:val="0"/>
                  <w:divBdr>
                    <w:top w:val="none" w:sz="0" w:space="0" w:color="auto"/>
                    <w:left w:val="none" w:sz="0" w:space="0" w:color="auto"/>
                    <w:bottom w:val="none" w:sz="0" w:space="0" w:color="auto"/>
                    <w:right w:val="none" w:sz="0" w:space="0" w:color="auto"/>
                  </w:divBdr>
                  <w:divsChild>
                    <w:div w:id="413406264">
                      <w:marLeft w:val="0"/>
                      <w:marRight w:val="0"/>
                      <w:marTop w:val="0"/>
                      <w:marBottom w:val="0"/>
                      <w:divBdr>
                        <w:top w:val="none" w:sz="0" w:space="0" w:color="auto"/>
                        <w:left w:val="none" w:sz="0" w:space="0" w:color="auto"/>
                        <w:bottom w:val="none" w:sz="0" w:space="0" w:color="auto"/>
                        <w:right w:val="none" w:sz="0" w:space="0" w:color="auto"/>
                      </w:divBdr>
                    </w:div>
                  </w:divsChild>
                </w:div>
                <w:div w:id="1239749942">
                  <w:marLeft w:val="0"/>
                  <w:marRight w:val="0"/>
                  <w:marTop w:val="0"/>
                  <w:marBottom w:val="0"/>
                  <w:divBdr>
                    <w:top w:val="none" w:sz="0" w:space="0" w:color="auto"/>
                    <w:left w:val="none" w:sz="0" w:space="0" w:color="auto"/>
                    <w:bottom w:val="none" w:sz="0" w:space="0" w:color="auto"/>
                    <w:right w:val="none" w:sz="0" w:space="0" w:color="auto"/>
                  </w:divBdr>
                  <w:divsChild>
                    <w:div w:id="684988803">
                      <w:marLeft w:val="0"/>
                      <w:marRight w:val="0"/>
                      <w:marTop w:val="0"/>
                      <w:marBottom w:val="0"/>
                      <w:divBdr>
                        <w:top w:val="none" w:sz="0" w:space="0" w:color="auto"/>
                        <w:left w:val="none" w:sz="0" w:space="0" w:color="auto"/>
                        <w:bottom w:val="none" w:sz="0" w:space="0" w:color="auto"/>
                        <w:right w:val="none" w:sz="0" w:space="0" w:color="auto"/>
                      </w:divBdr>
                    </w:div>
                  </w:divsChild>
                </w:div>
                <w:div w:id="1357343853">
                  <w:marLeft w:val="0"/>
                  <w:marRight w:val="0"/>
                  <w:marTop w:val="0"/>
                  <w:marBottom w:val="0"/>
                  <w:divBdr>
                    <w:top w:val="none" w:sz="0" w:space="0" w:color="auto"/>
                    <w:left w:val="none" w:sz="0" w:space="0" w:color="auto"/>
                    <w:bottom w:val="none" w:sz="0" w:space="0" w:color="auto"/>
                    <w:right w:val="none" w:sz="0" w:space="0" w:color="auto"/>
                  </w:divBdr>
                  <w:divsChild>
                    <w:div w:id="11037389">
                      <w:marLeft w:val="0"/>
                      <w:marRight w:val="0"/>
                      <w:marTop w:val="0"/>
                      <w:marBottom w:val="0"/>
                      <w:divBdr>
                        <w:top w:val="none" w:sz="0" w:space="0" w:color="auto"/>
                        <w:left w:val="none" w:sz="0" w:space="0" w:color="auto"/>
                        <w:bottom w:val="none" w:sz="0" w:space="0" w:color="auto"/>
                        <w:right w:val="none" w:sz="0" w:space="0" w:color="auto"/>
                      </w:divBdr>
                    </w:div>
                  </w:divsChild>
                </w:div>
                <w:div w:id="2060083759">
                  <w:marLeft w:val="0"/>
                  <w:marRight w:val="0"/>
                  <w:marTop w:val="0"/>
                  <w:marBottom w:val="0"/>
                  <w:divBdr>
                    <w:top w:val="none" w:sz="0" w:space="0" w:color="auto"/>
                    <w:left w:val="none" w:sz="0" w:space="0" w:color="auto"/>
                    <w:bottom w:val="none" w:sz="0" w:space="0" w:color="auto"/>
                    <w:right w:val="none" w:sz="0" w:space="0" w:color="auto"/>
                  </w:divBdr>
                  <w:divsChild>
                    <w:div w:id="453325334">
                      <w:marLeft w:val="0"/>
                      <w:marRight w:val="0"/>
                      <w:marTop w:val="0"/>
                      <w:marBottom w:val="0"/>
                      <w:divBdr>
                        <w:top w:val="none" w:sz="0" w:space="0" w:color="auto"/>
                        <w:left w:val="none" w:sz="0" w:space="0" w:color="auto"/>
                        <w:bottom w:val="none" w:sz="0" w:space="0" w:color="auto"/>
                        <w:right w:val="none" w:sz="0" w:space="0" w:color="auto"/>
                      </w:divBdr>
                    </w:div>
                  </w:divsChild>
                </w:div>
                <w:div w:id="2060856897">
                  <w:marLeft w:val="0"/>
                  <w:marRight w:val="0"/>
                  <w:marTop w:val="0"/>
                  <w:marBottom w:val="0"/>
                  <w:divBdr>
                    <w:top w:val="none" w:sz="0" w:space="0" w:color="auto"/>
                    <w:left w:val="none" w:sz="0" w:space="0" w:color="auto"/>
                    <w:bottom w:val="none" w:sz="0" w:space="0" w:color="auto"/>
                    <w:right w:val="none" w:sz="0" w:space="0" w:color="auto"/>
                  </w:divBdr>
                  <w:divsChild>
                    <w:div w:id="1180465157">
                      <w:marLeft w:val="0"/>
                      <w:marRight w:val="0"/>
                      <w:marTop w:val="0"/>
                      <w:marBottom w:val="0"/>
                      <w:divBdr>
                        <w:top w:val="none" w:sz="0" w:space="0" w:color="auto"/>
                        <w:left w:val="none" w:sz="0" w:space="0" w:color="auto"/>
                        <w:bottom w:val="none" w:sz="0" w:space="0" w:color="auto"/>
                        <w:right w:val="none" w:sz="0" w:space="0" w:color="auto"/>
                      </w:divBdr>
                    </w:div>
                  </w:divsChild>
                </w:div>
                <w:div w:id="2087418526">
                  <w:marLeft w:val="0"/>
                  <w:marRight w:val="0"/>
                  <w:marTop w:val="0"/>
                  <w:marBottom w:val="0"/>
                  <w:divBdr>
                    <w:top w:val="none" w:sz="0" w:space="0" w:color="auto"/>
                    <w:left w:val="none" w:sz="0" w:space="0" w:color="auto"/>
                    <w:bottom w:val="none" w:sz="0" w:space="0" w:color="auto"/>
                    <w:right w:val="none" w:sz="0" w:space="0" w:color="auto"/>
                  </w:divBdr>
                  <w:divsChild>
                    <w:div w:id="153257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96762">
          <w:marLeft w:val="0"/>
          <w:marRight w:val="0"/>
          <w:marTop w:val="0"/>
          <w:marBottom w:val="0"/>
          <w:divBdr>
            <w:top w:val="none" w:sz="0" w:space="0" w:color="auto"/>
            <w:left w:val="none" w:sz="0" w:space="0" w:color="auto"/>
            <w:bottom w:val="none" w:sz="0" w:space="0" w:color="auto"/>
            <w:right w:val="none" w:sz="0" w:space="0" w:color="auto"/>
          </w:divBdr>
        </w:div>
        <w:div w:id="2002469642">
          <w:marLeft w:val="0"/>
          <w:marRight w:val="0"/>
          <w:marTop w:val="0"/>
          <w:marBottom w:val="0"/>
          <w:divBdr>
            <w:top w:val="none" w:sz="0" w:space="0" w:color="auto"/>
            <w:left w:val="none" w:sz="0" w:space="0" w:color="auto"/>
            <w:bottom w:val="none" w:sz="0" w:space="0" w:color="auto"/>
            <w:right w:val="none" w:sz="0" w:space="0" w:color="auto"/>
          </w:divBdr>
          <w:divsChild>
            <w:div w:id="1813332766">
              <w:marLeft w:val="-75"/>
              <w:marRight w:val="0"/>
              <w:marTop w:val="30"/>
              <w:marBottom w:val="30"/>
              <w:divBdr>
                <w:top w:val="none" w:sz="0" w:space="0" w:color="auto"/>
                <w:left w:val="none" w:sz="0" w:space="0" w:color="auto"/>
                <w:bottom w:val="none" w:sz="0" w:space="0" w:color="auto"/>
                <w:right w:val="none" w:sz="0" w:space="0" w:color="auto"/>
              </w:divBdr>
              <w:divsChild>
                <w:div w:id="124083764">
                  <w:marLeft w:val="0"/>
                  <w:marRight w:val="0"/>
                  <w:marTop w:val="0"/>
                  <w:marBottom w:val="0"/>
                  <w:divBdr>
                    <w:top w:val="none" w:sz="0" w:space="0" w:color="auto"/>
                    <w:left w:val="none" w:sz="0" w:space="0" w:color="auto"/>
                    <w:bottom w:val="none" w:sz="0" w:space="0" w:color="auto"/>
                    <w:right w:val="none" w:sz="0" w:space="0" w:color="auto"/>
                  </w:divBdr>
                  <w:divsChild>
                    <w:div w:id="580262670">
                      <w:marLeft w:val="0"/>
                      <w:marRight w:val="0"/>
                      <w:marTop w:val="0"/>
                      <w:marBottom w:val="0"/>
                      <w:divBdr>
                        <w:top w:val="none" w:sz="0" w:space="0" w:color="auto"/>
                        <w:left w:val="none" w:sz="0" w:space="0" w:color="auto"/>
                        <w:bottom w:val="none" w:sz="0" w:space="0" w:color="auto"/>
                        <w:right w:val="none" w:sz="0" w:space="0" w:color="auto"/>
                      </w:divBdr>
                    </w:div>
                  </w:divsChild>
                </w:div>
                <w:div w:id="168258992">
                  <w:marLeft w:val="0"/>
                  <w:marRight w:val="0"/>
                  <w:marTop w:val="0"/>
                  <w:marBottom w:val="0"/>
                  <w:divBdr>
                    <w:top w:val="none" w:sz="0" w:space="0" w:color="auto"/>
                    <w:left w:val="none" w:sz="0" w:space="0" w:color="auto"/>
                    <w:bottom w:val="none" w:sz="0" w:space="0" w:color="auto"/>
                    <w:right w:val="none" w:sz="0" w:space="0" w:color="auto"/>
                  </w:divBdr>
                  <w:divsChild>
                    <w:div w:id="82654372">
                      <w:marLeft w:val="0"/>
                      <w:marRight w:val="0"/>
                      <w:marTop w:val="0"/>
                      <w:marBottom w:val="0"/>
                      <w:divBdr>
                        <w:top w:val="none" w:sz="0" w:space="0" w:color="auto"/>
                        <w:left w:val="none" w:sz="0" w:space="0" w:color="auto"/>
                        <w:bottom w:val="none" w:sz="0" w:space="0" w:color="auto"/>
                        <w:right w:val="none" w:sz="0" w:space="0" w:color="auto"/>
                      </w:divBdr>
                    </w:div>
                  </w:divsChild>
                </w:div>
                <w:div w:id="195853127">
                  <w:marLeft w:val="0"/>
                  <w:marRight w:val="0"/>
                  <w:marTop w:val="0"/>
                  <w:marBottom w:val="0"/>
                  <w:divBdr>
                    <w:top w:val="none" w:sz="0" w:space="0" w:color="auto"/>
                    <w:left w:val="none" w:sz="0" w:space="0" w:color="auto"/>
                    <w:bottom w:val="none" w:sz="0" w:space="0" w:color="auto"/>
                    <w:right w:val="none" w:sz="0" w:space="0" w:color="auto"/>
                  </w:divBdr>
                  <w:divsChild>
                    <w:div w:id="1270699471">
                      <w:marLeft w:val="0"/>
                      <w:marRight w:val="0"/>
                      <w:marTop w:val="0"/>
                      <w:marBottom w:val="0"/>
                      <w:divBdr>
                        <w:top w:val="none" w:sz="0" w:space="0" w:color="auto"/>
                        <w:left w:val="none" w:sz="0" w:space="0" w:color="auto"/>
                        <w:bottom w:val="none" w:sz="0" w:space="0" w:color="auto"/>
                        <w:right w:val="none" w:sz="0" w:space="0" w:color="auto"/>
                      </w:divBdr>
                    </w:div>
                  </w:divsChild>
                </w:div>
                <w:div w:id="619067468">
                  <w:marLeft w:val="0"/>
                  <w:marRight w:val="0"/>
                  <w:marTop w:val="0"/>
                  <w:marBottom w:val="0"/>
                  <w:divBdr>
                    <w:top w:val="none" w:sz="0" w:space="0" w:color="auto"/>
                    <w:left w:val="none" w:sz="0" w:space="0" w:color="auto"/>
                    <w:bottom w:val="none" w:sz="0" w:space="0" w:color="auto"/>
                    <w:right w:val="none" w:sz="0" w:space="0" w:color="auto"/>
                  </w:divBdr>
                  <w:divsChild>
                    <w:div w:id="959872970">
                      <w:marLeft w:val="0"/>
                      <w:marRight w:val="0"/>
                      <w:marTop w:val="0"/>
                      <w:marBottom w:val="0"/>
                      <w:divBdr>
                        <w:top w:val="none" w:sz="0" w:space="0" w:color="auto"/>
                        <w:left w:val="none" w:sz="0" w:space="0" w:color="auto"/>
                        <w:bottom w:val="none" w:sz="0" w:space="0" w:color="auto"/>
                        <w:right w:val="none" w:sz="0" w:space="0" w:color="auto"/>
                      </w:divBdr>
                    </w:div>
                  </w:divsChild>
                </w:div>
                <w:div w:id="1192189542">
                  <w:marLeft w:val="0"/>
                  <w:marRight w:val="0"/>
                  <w:marTop w:val="0"/>
                  <w:marBottom w:val="0"/>
                  <w:divBdr>
                    <w:top w:val="none" w:sz="0" w:space="0" w:color="auto"/>
                    <w:left w:val="none" w:sz="0" w:space="0" w:color="auto"/>
                    <w:bottom w:val="none" w:sz="0" w:space="0" w:color="auto"/>
                    <w:right w:val="none" w:sz="0" w:space="0" w:color="auto"/>
                  </w:divBdr>
                  <w:divsChild>
                    <w:div w:id="1962809354">
                      <w:marLeft w:val="0"/>
                      <w:marRight w:val="0"/>
                      <w:marTop w:val="0"/>
                      <w:marBottom w:val="0"/>
                      <w:divBdr>
                        <w:top w:val="none" w:sz="0" w:space="0" w:color="auto"/>
                        <w:left w:val="none" w:sz="0" w:space="0" w:color="auto"/>
                        <w:bottom w:val="none" w:sz="0" w:space="0" w:color="auto"/>
                        <w:right w:val="none" w:sz="0" w:space="0" w:color="auto"/>
                      </w:divBdr>
                    </w:div>
                  </w:divsChild>
                </w:div>
                <w:div w:id="2080515967">
                  <w:marLeft w:val="0"/>
                  <w:marRight w:val="0"/>
                  <w:marTop w:val="0"/>
                  <w:marBottom w:val="0"/>
                  <w:divBdr>
                    <w:top w:val="none" w:sz="0" w:space="0" w:color="auto"/>
                    <w:left w:val="none" w:sz="0" w:space="0" w:color="auto"/>
                    <w:bottom w:val="none" w:sz="0" w:space="0" w:color="auto"/>
                    <w:right w:val="none" w:sz="0" w:space="0" w:color="auto"/>
                  </w:divBdr>
                  <w:divsChild>
                    <w:div w:id="1600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333850">
          <w:marLeft w:val="0"/>
          <w:marRight w:val="0"/>
          <w:marTop w:val="0"/>
          <w:marBottom w:val="0"/>
          <w:divBdr>
            <w:top w:val="none" w:sz="0" w:space="0" w:color="auto"/>
            <w:left w:val="none" w:sz="0" w:space="0" w:color="auto"/>
            <w:bottom w:val="none" w:sz="0" w:space="0" w:color="auto"/>
            <w:right w:val="none" w:sz="0" w:space="0" w:color="auto"/>
          </w:divBdr>
        </w:div>
        <w:div w:id="2146503374">
          <w:marLeft w:val="0"/>
          <w:marRight w:val="0"/>
          <w:marTop w:val="0"/>
          <w:marBottom w:val="0"/>
          <w:divBdr>
            <w:top w:val="none" w:sz="0" w:space="0" w:color="auto"/>
            <w:left w:val="none" w:sz="0" w:space="0" w:color="auto"/>
            <w:bottom w:val="none" w:sz="0" w:space="0" w:color="auto"/>
            <w:right w:val="none" w:sz="0" w:space="0" w:color="auto"/>
          </w:divBdr>
          <w:divsChild>
            <w:div w:id="1782608153">
              <w:marLeft w:val="-75"/>
              <w:marRight w:val="0"/>
              <w:marTop w:val="30"/>
              <w:marBottom w:val="30"/>
              <w:divBdr>
                <w:top w:val="none" w:sz="0" w:space="0" w:color="auto"/>
                <w:left w:val="none" w:sz="0" w:space="0" w:color="auto"/>
                <w:bottom w:val="none" w:sz="0" w:space="0" w:color="auto"/>
                <w:right w:val="none" w:sz="0" w:space="0" w:color="auto"/>
              </w:divBdr>
              <w:divsChild>
                <w:div w:id="111822185">
                  <w:marLeft w:val="0"/>
                  <w:marRight w:val="0"/>
                  <w:marTop w:val="0"/>
                  <w:marBottom w:val="0"/>
                  <w:divBdr>
                    <w:top w:val="none" w:sz="0" w:space="0" w:color="auto"/>
                    <w:left w:val="none" w:sz="0" w:space="0" w:color="auto"/>
                    <w:bottom w:val="none" w:sz="0" w:space="0" w:color="auto"/>
                    <w:right w:val="none" w:sz="0" w:space="0" w:color="auto"/>
                  </w:divBdr>
                  <w:divsChild>
                    <w:div w:id="1465460749">
                      <w:marLeft w:val="0"/>
                      <w:marRight w:val="0"/>
                      <w:marTop w:val="0"/>
                      <w:marBottom w:val="0"/>
                      <w:divBdr>
                        <w:top w:val="none" w:sz="0" w:space="0" w:color="auto"/>
                        <w:left w:val="none" w:sz="0" w:space="0" w:color="auto"/>
                        <w:bottom w:val="none" w:sz="0" w:space="0" w:color="auto"/>
                        <w:right w:val="none" w:sz="0" w:space="0" w:color="auto"/>
                      </w:divBdr>
                    </w:div>
                  </w:divsChild>
                </w:div>
                <w:div w:id="146017941">
                  <w:marLeft w:val="0"/>
                  <w:marRight w:val="0"/>
                  <w:marTop w:val="0"/>
                  <w:marBottom w:val="0"/>
                  <w:divBdr>
                    <w:top w:val="none" w:sz="0" w:space="0" w:color="auto"/>
                    <w:left w:val="none" w:sz="0" w:space="0" w:color="auto"/>
                    <w:bottom w:val="none" w:sz="0" w:space="0" w:color="auto"/>
                    <w:right w:val="none" w:sz="0" w:space="0" w:color="auto"/>
                  </w:divBdr>
                  <w:divsChild>
                    <w:div w:id="639770740">
                      <w:marLeft w:val="0"/>
                      <w:marRight w:val="0"/>
                      <w:marTop w:val="0"/>
                      <w:marBottom w:val="0"/>
                      <w:divBdr>
                        <w:top w:val="none" w:sz="0" w:space="0" w:color="auto"/>
                        <w:left w:val="none" w:sz="0" w:space="0" w:color="auto"/>
                        <w:bottom w:val="none" w:sz="0" w:space="0" w:color="auto"/>
                        <w:right w:val="none" w:sz="0" w:space="0" w:color="auto"/>
                      </w:divBdr>
                    </w:div>
                  </w:divsChild>
                </w:div>
                <w:div w:id="232467530">
                  <w:marLeft w:val="0"/>
                  <w:marRight w:val="0"/>
                  <w:marTop w:val="0"/>
                  <w:marBottom w:val="0"/>
                  <w:divBdr>
                    <w:top w:val="none" w:sz="0" w:space="0" w:color="auto"/>
                    <w:left w:val="none" w:sz="0" w:space="0" w:color="auto"/>
                    <w:bottom w:val="none" w:sz="0" w:space="0" w:color="auto"/>
                    <w:right w:val="none" w:sz="0" w:space="0" w:color="auto"/>
                  </w:divBdr>
                  <w:divsChild>
                    <w:div w:id="576287082">
                      <w:marLeft w:val="0"/>
                      <w:marRight w:val="0"/>
                      <w:marTop w:val="0"/>
                      <w:marBottom w:val="0"/>
                      <w:divBdr>
                        <w:top w:val="none" w:sz="0" w:space="0" w:color="auto"/>
                        <w:left w:val="none" w:sz="0" w:space="0" w:color="auto"/>
                        <w:bottom w:val="none" w:sz="0" w:space="0" w:color="auto"/>
                        <w:right w:val="none" w:sz="0" w:space="0" w:color="auto"/>
                      </w:divBdr>
                    </w:div>
                  </w:divsChild>
                </w:div>
                <w:div w:id="336231376">
                  <w:marLeft w:val="0"/>
                  <w:marRight w:val="0"/>
                  <w:marTop w:val="0"/>
                  <w:marBottom w:val="0"/>
                  <w:divBdr>
                    <w:top w:val="none" w:sz="0" w:space="0" w:color="auto"/>
                    <w:left w:val="none" w:sz="0" w:space="0" w:color="auto"/>
                    <w:bottom w:val="none" w:sz="0" w:space="0" w:color="auto"/>
                    <w:right w:val="none" w:sz="0" w:space="0" w:color="auto"/>
                  </w:divBdr>
                  <w:divsChild>
                    <w:div w:id="717169357">
                      <w:marLeft w:val="0"/>
                      <w:marRight w:val="0"/>
                      <w:marTop w:val="0"/>
                      <w:marBottom w:val="0"/>
                      <w:divBdr>
                        <w:top w:val="none" w:sz="0" w:space="0" w:color="auto"/>
                        <w:left w:val="none" w:sz="0" w:space="0" w:color="auto"/>
                        <w:bottom w:val="none" w:sz="0" w:space="0" w:color="auto"/>
                        <w:right w:val="none" w:sz="0" w:space="0" w:color="auto"/>
                      </w:divBdr>
                    </w:div>
                  </w:divsChild>
                </w:div>
                <w:div w:id="370345321">
                  <w:marLeft w:val="0"/>
                  <w:marRight w:val="0"/>
                  <w:marTop w:val="0"/>
                  <w:marBottom w:val="0"/>
                  <w:divBdr>
                    <w:top w:val="none" w:sz="0" w:space="0" w:color="auto"/>
                    <w:left w:val="none" w:sz="0" w:space="0" w:color="auto"/>
                    <w:bottom w:val="none" w:sz="0" w:space="0" w:color="auto"/>
                    <w:right w:val="none" w:sz="0" w:space="0" w:color="auto"/>
                  </w:divBdr>
                  <w:divsChild>
                    <w:div w:id="565998697">
                      <w:marLeft w:val="0"/>
                      <w:marRight w:val="0"/>
                      <w:marTop w:val="0"/>
                      <w:marBottom w:val="0"/>
                      <w:divBdr>
                        <w:top w:val="none" w:sz="0" w:space="0" w:color="auto"/>
                        <w:left w:val="none" w:sz="0" w:space="0" w:color="auto"/>
                        <w:bottom w:val="none" w:sz="0" w:space="0" w:color="auto"/>
                        <w:right w:val="none" w:sz="0" w:space="0" w:color="auto"/>
                      </w:divBdr>
                    </w:div>
                  </w:divsChild>
                </w:div>
                <w:div w:id="452018103">
                  <w:marLeft w:val="0"/>
                  <w:marRight w:val="0"/>
                  <w:marTop w:val="0"/>
                  <w:marBottom w:val="0"/>
                  <w:divBdr>
                    <w:top w:val="none" w:sz="0" w:space="0" w:color="auto"/>
                    <w:left w:val="none" w:sz="0" w:space="0" w:color="auto"/>
                    <w:bottom w:val="none" w:sz="0" w:space="0" w:color="auto"/>
                    <w:right w:val="none" w:sz="0" w:space="0" w:color="auto"/>
                  </w:divBdr>
                  <w:divsChild>
                    <w:div w:id="1639919970">
                      <w:marLeft w:val="0"/>
                      <w:marRight w:val="0"/>
                      <w:marTop w:val="0"/>
                      <w:marBottom w:val="0"/>
                      <w:divBdr>
                        <w:top w:val="none" w:sz="0" w:space="0" w:color="auto"/>
                        <w:left w:val="none" w:sz="0" w:space="0" w:color="auto"/>
                        <w:bottom w:val="none" w:sz="0" w:space="0" w:color="auto"/>
                        <w:right w:val="none" w:sz="0" w:space="0" w:color="auto"/>
                      </w:divBdr>
                    </w:div>
                  </w:divsChild>
                </w:div>
                <w:div w:id="487016768">
                  <w:marLeft w:val="0"/>
                  <w:marRight w:val="0"/>
                  <w:marTop w:val="0"/>
                  <w:marBottom w:val="0"/>
                  <w:divBdr>
                    <w:top w:val="none" w:sz="0" w:space="0" w:color="auto"/>
                    <w:left w:val="none" w:sz="0" w:space="0" w:color="auto"/>
                    <w:bottom w:val="none" w:sz="0" w:space="0" w:color="auto"/>
                    <w:right w:val="none" w:sz="0" w:space="0" w:color="auto"/>
                  </w:divBdr>
                  <w:divsChild>
                    <w:div w:id="2004043001">
                      <w:marLeft w:val="0"/>
                      <w:marRight w:val="0"/>
                      <w:marTop w:val="0"/>
                      <w:marBottom w:val="0"/>
                      <w:divBdr>
                        <w:top w:val="none" w:sz="0" w:space="0" w:color="auto"/>
                        <w:left w:val="none" w:sz="0" w:space="0" w:color="auto"/>
                        <w:bottom w:val="none" w:sz="0" w:space="0" w:color="auto"/>
                        <w:right w:val="none" w:sz="0" w:space="0" w:color="auto"/>
                      </w:divBdr>
                    </w:div>
                  </w:divsChild>
                </w:div>
                <w:div w:id="493647822">
                  <w:marLeft w:val="0"/>
                  <w:marRight w:val="0"/>
                  <w:marTop w:val="0"/>
                  <w:marBottom w:val="0"/>
                  <w:divBdr>
                    <w:top w:val="none" w:sz="0" w:space="0" w:color="auto"/>
                    <w:left w:val="none" w:sz="0" w:space="0" w:color="auto"/>
                    <w:bottom w:val="none" w:sz="0" w:space="0" w:color="auto"/>
                    <w:right w:val="none" w:sz="0" w:space="0" w:color="auto"/>
                  </w:divBdr>
                  <w:divsChild>
                    <w:div w:id="1242526428">
                      <w:marLeft w:val="0"/>
                      <w:marRight w:val="0"/>
                      <w:marTop w:val="0"/>
                      <w:marBottom w:val="0"/>
                      <w:divBdr>
                        <w:top w:val="none" w:sz="0" w:space="0" w:color="auto"/>
                        <w:left w:val="none" w:sz="0" w:space="0" w:color="auto"/>
                        <w:bottom w:val="none" w:sz="0" w:space="0" w:color="auto"/>
                        <w:right w:val="none" w:sz="0" w:space="0" w:color="auto"/>
                      </w:divBdr>
                    </w:div>
                  </w:divsChild>
                </w:div>
                <w:div w:id="653489805">
                  <w:marLeft w:val="0"/>
                  <w:marRight w:val="0"/>
                  <w:marTop w:val="0"/>
                  <w:marBottom w:val="0"/>
                  <w:divBdr>
                    <w:top w:val="none" w:sz="0" w:space="0" w:color="auto"/>
                    <w:left w:val="none" w:sz="0" w:space="0" w:color="auto"/>
                    <w:bottom w:val="none" w:sz="0" w:space="0" w:color="auto"/>
                    <w:right w:val="none" w:sz="0" w:space="0" w:color="auto"/>
                  </w:divBdr>
                  <w:divsChild>
                    <w:div w:id="1210144822">
                      <w:marLeft w:val="0"/>
                      <w:marRight w:val="0"/>
                      <w:marTop w:val="0"/>
                      <w:marBottom w:val="0"/>
                      <w:divBdr>
                        <w:top w:val="none" w:sz="0" w:space="0" w:color="auto"/>
                        <w:left w:val="none" w:sz="0" w:space="0" w:color="auto"/>
                        <w:bottom w:val="none" w:sz="0" w:space="0" w:color="auto"/>
                        <w:right w:val="none" w:sz="0" w:space="0" w:color="auto"/>
                      </w:divBdr>
                    </w:div>
                  </w:divsChild>
                </w:div>
                <w:div w:id="666445689">
                  <w:marLeft w:val="0"/>
                  <w:marRight w:val="0"/>
                  <w:marTop w:val="0"/>
                  <w:marBottom w:val="0"/>
                  <w:divBdr>
                    <w:top w:val="none" w:sz="0" w:space="0" w:color="auto"/>
                    <w:left w:val="none" w:sz="0" w:space="0" w:color="auto"/>
                    <w:bottom w:val="none" w:sz="0" w:space="0" w:color="auto"/>
                    <w:right w:val="none" w:sz="0" w:space="0" w:color="auto"/>
                  </w:divBdr>
                  <w:divsChild>
                    <w:div w:id="1853639886">
                      <w:marLeft w:val="0"/>
                      <w:marRight w:val="0"/>
                      <w:marTop w:val="0"/>
                      <w:marBottom w:val="0"/>
                      <w:divBdr>
                        <w:top w:val="none" w:sz="0" w:space="0" w:color="auto"/>
                        <w:left w:val="none" w:sz="0" w:space="0" w:color="auto"/>
                        <w:bottom w:val="none" w:sz="0" w:space="0" w:color="auto"/>
                        <w:right w:val="none" w:sz="0" w:space="0" w:color="auto"/>
                      </w:divBdr>
                    </w:div>
                  </w:divsChild>
                </w:div>
                <w:div w:id="700282269">
                  <w:marLeft w:val="0"/>
                  <w:marRight w:val="0"/>
                  <w:marTop w:val="0"/>
                  <w:marBottom w:val="0"/>
                  <w:divBdr>
                    <w:top w:val="none" w:sz="0" w:space="0" w:color="auto"/>
                    <w:left w:val="none" w:sz="0" w:space="0" w:color="auto"/>
                    <w:bottom w:val="none" w:sz="0" w:space="0" w:color="auto"/>
                    <w:right w:val="none" w:sz="0" w:space="0" w:color="auto"/>
                  </w:divBdr>
                  <w:divsChild>
                    <w:div w:id="251549613">
                      <w:marLeft w:val="0"/>
                      <w:marRight w:val="0"/>
                      <w:marTop w:val="0"/>
                      <w:marBottom w:val="0"/>
                      <w:divBdr>
                        <w:top w:val="none" w:sz="0" w:space="0" w:color="auto"/>
                        <w:left w:val="none" w:sz="0" w:space="0" w:color="auto"/>
                        <w:bottom w:val="none" w:sz="0" w:space="0" w:color="auto"/>
                        <w:right w:val="none" w:sz="0" w:space="0" w:color="auto"/>
                      </w:divBdr>
                    </w:div>
                  </w:divsChild>
                </w:div>
                <w:div w:id="850486589">
                  <w:marLeft w:val="0"/>
                  <w:marRight w:val="0"/>
                  <w:marTop w:val="0"/>
                  <w:marBottom w:val="0"/>
                  <w:divBdr>
                    <w:top w:val="none" w:sz="0" w:space="0" w:color="auto"/>
                    <w:left w:val="none" w:sz="0" w:space="0" w:color="auto"/>
                    <w:bottom w:val="none" w:sz="0" w:space="0" w:color="auto"/>
                    <w:right w:val="none" w:sz="0" w:space="0" w:color="auto"/>
                  </w:divBdr>
                  <w:divsChild>
                    <w:div w:id="803231708">
                      <w:marLeft w:val="0"/>
                      <w:marRight w:val="0"/>
                      <w:marTop w:val="0"/>
                      <w:marBottom w:val="0"/>
                      <w:divBdr>
                        <w:top w:val="none" w:sz="0" w:space="0" w:color="auto"/>
                        <w:left w:val="none" w:sz="0" w:space="0" w:color="auto"/>
                        <w:bottom w:val="none" w:sz="0" w:space="0" w:color="auto"/>
                        <w:right w:val="none" w:sz="0" w:space="0" w:color="auto"/>
                      </w:divBdr>
                    </w:div>
                  </w:divsChild>
                </w:div>
                <w:div w:id="864051515">
                  <w:marLeft w:val="0"/>
                  <w:marRight w:val="0"/>
                  <w:marTop w:val="0"/>
                  <w:marBottom w:val="0"/>
                  <w:divBdr>
                    <w:top w:val="none" w:sz="0" w:space="0" w:color="auto"/>
                    <w:left w:val="none" w:sz="0" w:space="0" w:color="auto"/>
                    <w:bottom w:val="none" w:sz="0" w:space="0" w:color="auto"/>
                    <w:right w:val="none" w:sz="0" w:space="0" w:color="auto"/>
                  </w:divBdr>
                  <w:divsChild>
                    <w:div w:id="894924519">
                      <w:marLeft w:val="0"/>
                      <w:marRight w:val="0"/>
                      <w:marTop w:val="0"/>
                      <w:marBottom w:val="0"/>
                      <w:divBdr>
                        <w:top w:val="none" w:sz="0" w:space="0" w:color="auto"/>
                        <w:left w:val="none" w:sz="0" w:space="0" w:color="auto"/>
                        <w:bottom w:val="none" w:sz="0" w:space="0" w:color="auto"/>
                        <w:right w:val="none" w:sz="0" w:space="0" w:color="auto"/>
                      </w:divBdr>
                    </w:div>
                  </w:divsChild>
                </w:div>
                <w:div w:id="979574956">
                  <w:marLeft w:val="0"/>
                  <w:marRight w:val="0"/>
                  <w:marTop w:val="0"/>
                  <w:marBottom w:val="0"/>
                  <w:divBdr>
                    <w:top w:val="none" w:sz="0" w:space="0" w:color="auto"/>
                    <w:left w:val="none" w:sz="0" w:space="0" w:color="auto"/>
                    <w:bottom w:val="none" w:sz="0" w:space="0" w:color="auto"/>
                    <w:right w:val="none" w:sz="0" w:space="0" w:color="auto"/>
                  </w:divBdr>
                  <w:divsChild>
                    <w:div w:id="1550385233">
                      <w:marLeft w:val="0"/>
                      <w:marRight w:val="0"/>
                      <w:marTop w:val="0"/>
                      <w:marBottom w:val="0"/>
                      <w:divBdr>
                        <w:top w:val="none" w:sz="0" w:space="0" w:color="auto"/>
                        <w:left w:val="none" w:sz="0" w:space="0" w:color="auto"/>
                        <w:bottom w:val="none" w:sz="0" w:space="0" w:color="auto"/>
                        <w:right w:val="none" w:sz="0" w:space="0" w:color="auto"/>
                      </w:divBdr>
                    </w:div>
                  </w:divsChild>
                </w:div>
                <w:div w:id="1024283345">
                  <w:marLeft w:val="0"/>
                  <w:marRight w:val="0"/>
                  <w:marTop w:val="0"/>
                  <w:marBottom w:val="0"/>
                  <w:divBdr>
                    <w:top w:val="none" w:sz="0" w:space="0" w:color="auto"/>
                    <w:left w:val="none" w:sz="0" w:space="0" w:color="auto"/>
                    <w:bottom w:val="none" w:sz="0" w:space="0" w:color="auto"/>
                    <w:right w:val="none" w:sz="0" w:space="0" w:color="auto"/>
                  </w:divBdr>
                  <w:divsChild>
                    <w:div w:id="934559463">
                      <w:marLeft w:val="0"/>
                      <w:marRight w:val="0"/>
                      <w:marTop w:val="0"/>
                      <w:marBottom w:val="0"/>
                      <w:divBdr>
                        <w:top w:val="none" w:sz="0" w:space="0" w:color="auto"/>
                        <w:left w:val="none" w:sz="0" w:space="0" w:color="auto"/>
                        <w:bottom w:val="none" w:sz="0" w:space="0" w:color="auto"/>
                        <w:right w:val="none" w:sz="0" w:space="0" w:color="auto"/>
                      </w:divBdr>
                    </w:div>
                  </w:divsChild>
                </w:div>
                <w:div w:id="1065841216">
                  <w:marLeft w:val="0"/>
                  <w:marRight w:val="0"/>
                  <w:marTop w:val="0"/>
                  <w:marBottom w:val="0"/>
                  <w:divBdr>
                    <w:top w:val="none" w:sz="0" w:space="0" w:color="auto"/>
                    <w:left w:val="none" w:sz="0" w:space="0" w:color="auto"/>
                    <w:bottom w:val="none" w:sz="0" w:space="0" w:color="auto"/>
                    <w:right w:val="none" w:sz="0" w:space="0" w:color="auto"/>
                  </w:divBdr>
                  <w:divsChild>
                    <w:div w:id="1847673532">
                      <w:marLeft w:val="0"/>
                      <w:marRight w:val="0"/>
                      <w:marTop w:val="0"/>
                      <w:marBottom w:val="0"/>
                      <w:divBdr>
                        <w:top w:val="none" w:sz="0" w:space="0" w:color="auto"/>
                        <w:left w:val="none" w:sz="0" w:space="0" w:color="auto"/>
                        <w:bottom w:val="none" w:sz="0" w:space="0" w:color="auto"/>
                        <w:right w:val="none" w:sz="0" w:space="0" w:color="auto"/>
                      </w:divBdr>
                    </w:div>
                  </w:divsChild>
                </w:div>
                <w:div w:id="1249120148">
                  <w:marLeft w:val="0"/>
                  <w:marRight w:val="0"/>
                  <w:marTop w:val="0"/>
                  <w:marBottom w:val="0"/>
                  <w:divBdr>
                    <w:top w:val="none" w:sz="0" w:space="0" w:color="auto"/>
                    <w:left w:val="none" w:sz="0" w:space="0" w:color="auto"/>
                    <w:bottom w:val="none" w:sz="0" w:space="0" w:color="auto"/>
                    <w:right w:val="none" w:sz="0" w:space="0" w:color="auto"/>
                  </w:divBdr>
                  <w:divsChild>
                    <w:div w:id="1686323580">
                      <w:marLeft w:val="0"/>
                      <w:marRight w:val="0"/>
                      <w:marTop w:val="0"/>
                      <w:marBottom w:val="0"/>
                      <w:divBdr>
                        <w:top w:val="none" w:sz="0" w:space="0" w:color="auto"/>
                        <w:left w:val="none" w:sz="0" w:space="0" w:color="auto"/>
                        <w:bottom w:val="none" w:sz="0" w:space="0" w:color="auto"/>
                        <w:right w:val="none" w:sz="0" w:space="0" w:color="auto"/>
                      </w:divBdr>
                    </w:div>
                  </w:divsChild>
                </w:div>
                <w:div w:id="1302922283">
                  <w:marLeft w:val="0"/>
                  <w:marRight w:val="0"/>
                  <w:marTop w:val="0"/>
                  <w:marBottom w:val="0"/>
                  <w:divBdr>
                    <w:top w:val="none" w:sz="0" w:space="0" w:color="auto"/>
                    <w:left w:val="none" w:sz="0" w:space="0" w:color="auto"/>
                    <w:bottom w:val="none" w:sz="0" w:space="0" w:color="auto"/>
                    <w:right w:val="none" w:sz="0" w:space="0" w:color="auto"/>
                  </w:divBdr>
                  <w:divsChild>
                    <w:div w:id="119501584">
                      <w:marLeft w:val="0"/>
                      <w:marRight w:val="0"/>
                      <w:marTop w:val="0"/>
                      <w:marBottom w:val="0"/>
                      <w:divBdr>
                        <w:top w:val="none" w:sz="0" w:space="0" w:color="auto"/>
                        <w:left w:val="none" w:sz="0" w:space="0" w:color="auto"/>
                        <w:bottom w:val="none" w:sz="0" w:space="0" w:color="auto"/>
                        <w:right w:val="none" w:sz="0" w:space="0" w:color="auto"/>
                      </w:divBdr>
                    </w:div>
                  </w:divsChild>
                </w:div>
                <w:div w:id="1465847798">
                  <w:marLeft w:val="0"/>
                  <w:marRight w:val="0"/>
                  <w:marTop w:val="0"/>
                  <w:marBottom w:val="0"/>
                  <w:divBdr>
                    <w:top w:val="none" w:sz="0" w:space="0" w:color="auto"/>
                    <w:left w:val="none" w:sz="0" w:space="0" w:color="auto"/>
                    <w:bottom w:val="none" w:sz="0" w:space="0" w:color="auto"/>
                    <w:right w:val="none" w:sz="0" w:space="0" w:color="auto"/>
                  </w:divBdr>
                  <w:divsChild>
                    <w:div w:id="1042558257">
                      <w:marLeft w:val="0"/>
                      <w:marRight w:val="0"/>
                      <w:marTop w:val="0"/>
                      <w:marBottom w:val="0"/>
                      <w:divBdr>
                        <w:top w:val="none" w:sz="0" w:space="0" w:color="auto"/>
                        <w:left w:val="none" w:sz="0" w:space="0" w:color="auto"/>
                        <w:bottom w:val="none" w:sz="0" w:space="0" w:color="auto"/>
                        <w:right w:val="none" w:sz="0" w:space="0" w:color="auto"/>
                      </w:divBdr>
                    </w:div>
                  </w:divsChild>
                </w:div>
                <w:div w:id="1468359540">
                  <w:marLeft w:val="0"/>
                  <w:marRight w:val="0"/>
                  <w:marTop w:val="0"/>
                  <w:marBottom w:val="0"/>
                  <w:divBdr>
                    <w:top w:val="none" w:sz="0" w:space="0" w:color="auto"/>
                    <w:left w:val="none" w:sz="0" w:space="0" w:color="auto"/>
                    <w:bottom w:val="none" w:sz="0" w:space="0" w:color="auto"/>
                    <w:right w:val="none" w:sz="0" w:space="0" w:color="auto"/>
                  </w:divBdr>
                  <w:divsChild>
                    <w:div w:id="377512809">
                      <w:marLeft w:val="0"/>
                      <w:marRight w:val="0"/>
                      <w:marTop w:val="0"/>
                      <w:marBottom w:val="0"/>
                      <w:divBdr>
                        <w:top w:val="none" w:sz="0" w:space="0" w:color="auto"/>
                        <w:left w:val="none" w:sz="0" w:space="0" w:color="auto"/>
                        <w:bottom w:val="none" w:sz="0" w:space="0" w:color="auto"/>
                        <w:right w:val="none" w:sz="0" w:space="0" w:color="auto"/>
                      </w:divBdr>
                    </w:div>
                  </w:divsChild>
                </w:div>
                <w:div w:id="1489057136">
                  <w:marLeft w:val="0"/>
                  <w:marRight w:val="0"/>
                  <w:marTop w:val="0"/>
                  <w:marBottom w:val="0"/>
                  <w:divBdr>
                    <w:top w:val="none" w:sz="0" w:space="0" w:color="auto"/>
                    <w:left w:val="none" w:sz="0" w:space="0" w:color="auto"/>
                    <w:bottom w:val="none" w:sz="0" w:space="0" w:color="auto"/>
                    <w:right w:val="none" w:sz="0" w:space="0" w:color="auto"/>
                  </w:divBdr>
                  <w:divsChild>
                    <w:div w:id="956059836">
                      <w:marLeft w:val="0"/>
                      <w:marRight w:val="0"/>
                      <w:marTop w:val="0"/>
                      <w:marBottom w:val="0"/>
                      <w:divBdr>
                        <w:top w:val="none" w:sz="0" w:space="0" w:color="auto"/>
                        <w:left w:val="none" w:sz="0" w:space="0" w:color="auto"/>
                        <w:bottom w:val="none" w:sz="0" w:space="0" w:color="auto"/>
                        <w:right w:val="none" w:sz="0" w:space="0" w:color="auto"/>
                      </w:divBdr>
                    </w:div>
                  </w:divsChild>
                </w:div>
                <w:div w:id="1495029465">
                  <w:marLeft w:val="0"/>
                  <w:marRight w:val="0"/>
                  <w:marTop w:val="0"/>
                  <w:marBottom w:val="0"/>
                  <w:divBdr>
                    <w:top w:val="none" w:sz="0" w:space="0" w:color="auto"/>
                    <w:left w:val="none" w:sz="0" w:space="0" w:color="auto"/>
                    <w:bottom w:val="none" w:sz="0" w:space="0" w:color="auto"/>
                    <w:right w:val="none" w:sz="0" w:space="0" w:color="auto"/>
                  </w:divBdr>
                  <w:divsChild>
                    <w:div w:id="703364821">
                      <w:marLeft w:val="0"/>
                      <w:marRight w:val="0"/>
                      <w:marTop w:val="0"/>
                      <w:marBottom w:val="0"/>
                      <w:divBdr>
                        <w:top w:val="none" w:sz="0" w:space="0" w:color="auto"/>
                        <w:left w:val="none" w:sz="0" w:space="0" w:color="auto"/>
                        <w:bottom w:val="none" w:sz="0" w:space="0" w:color="auto"/>
                        <w:right w:val="none" w:sz="0" w:space="0" w:color="auto"/>
                      </w:divBdr>
                    </w:div>
                  </w:divsChild>
                </w:div>
                <w:div w:id="1516575653">
                  <w:marLeft w:val="0"/>
                  <w:marRight w:val="0"/>
                  <w:marTop w:val="0"/>
                  <w:marBottom w:val="0"/>
                  <w:divBdr>
                    <w:top w:val="none" w:sz="0" w:space="0" w:color="auto"/>
                    <w:left w:val="none" w:sz="0" w:space="0" w:color="auto"/>
                    <w:bottom w:val="none" w:sz="0" w:space="0" w:color="auto"/>
                    <w:right w:val="none" w:sz="0" w:space="0" w:color="auto"/>
                  </w:divBdr>
                  <w:divsChild>
                    <w:div w:id="897940731">
                      <w:marLeft w:val="0"/>
                      <w:marRight w:val="0"/>
                      <w:marTop w:val="0"/>
                      <w:marBottom w:val="0"/>
                      <w:divBdr>
                        <w:top w:val="none" w:sz="0" w:space="0" w:color="auto"/>
                        <w:left w:val="none" w:sz="0" w:space="0" w:color="auto"/>
                        <w:bottom w:val="none" w:sz="0" w:space="0" w:color="auto"/>
                        <w:right w:val="none" w:sz="0" w:space="0" w:color="auto"/>
                      </w:divBdr>
                    </w:div>
                  </w:divsChild>
                </w:div>
                <w:div w:id="1600598372">
                  <w:marLeft w:val="0"/>
                  <w:marRight w:val="0"/>
                  <w:marTop w:val="0"/>
                  <w:marBottom w:val="0"/>
                  <w:divBdr>
                    <w:top w:val="none" w:sz="0" w:space="0" w:color="auto"/>
                    <w:left w:val="none" w:sz="0" w:space="0" w:color="auto"/>
                    <w:bottom w:val="none" w:sz="0" w:space="0" w:color="auto"/>
                    <w:right w:val="none" w:sz="0" w:space="0" w:color="auto"/>
                  </w:divBdr>
                  <w:divsChild>
                    <w:div w:id="1922174786">
                      <w:marLeft w:val="0"/>
                      <w:marRight w:val="0"/>
                      <w:marTop w:val="0"/>
                      <w:marBottom w:val="0"/>
                      <w:divBdr>
                        <w:top w:val="none" w:sz="0" w:space="0" w:color="auto"/>
                        <w:left w:val="none" w:sz="0" w:space="0" w:color="auto"/>
                        <w:bottom w:val="none" w:sz="0" w:space="0" w:color="auto"/>
                        <w:right w:val="none" w:sz="0" w:space="0" w:color="auto"/>
                      </w:divBdr>
                    </w:div>
                  </w:divsChild>
                </w:div>
                <w:div w:id="1727483847">
                  <w:marLeft w:val="0"/>
                  <w:marRight w:val="0"/>
                  <w:marTop w:val="0"/>
                  <w:marBottom w:val="0"/>
                  <w:divBdr>
                    <w:top w:val="none" w:sz="0" w:space="0" w:color="auto"/>
                    <w:left w:val="none" w:sz="0" w:space="0" w:color="auto"/>
                    <w:bottom w:val="none" w:sz="0" w:space="0" w:color="auto"/>
                    <w:right w:val="none" w:sz="0" w:space="0" w:color="auto"/>
                  </w:divBdr>
                  <w:divsChild>
                    <w:div w:id="1938638158">
                      <w:marLeft w:val="0"/>
                      <w:marRight w:val="0"/>
                      <w:marTop w:val="0"/>
                      <w:marBottom w:val="0"/>
                      <w:divBdr>
                        <w:top w:val="none" w:sz="0" w:space="0" w:color="auto"/>
                        <w:left w:val="none" w:sz="0" w:space="0" w:color="auto"/>
                        <w:bottom w:val="none" w:sz="0" w:space="0" w:color="auto"/>
                        <w:right w:val="none" w:sz="0" w:space="0" w:color="auto"/>
                      </w:divBdr>
                    </w:div>
                  </w:divsChild>
                </w:div>
                <w:div w:id="1753962280">
                  <w:marLeft w:val="0"/>
                  <w:marRight w:val="0"/>
                  <w:marTop w:val="0"/>
                  <w:marBottom w:val="0"/>
                  <w:divBdr>
                    <w:top w:val="none" w:sz="0" w:space="0" w:color="auto"/>
                    <w:left w:val="none" w:sz="0" w:space="0" w:color="auto"/>
                    <w:bottom w:val="none" w:sz="0" w:space="0" w:color="auto"/>
                    <w:right w:val="none" w:sz="0" w:space="0" w:color="auto"/>
                  </w:divBdr>
                  <w:divsChild>
                    <w:div w:id="892078947">
                      <w:marLeft w:val="0"/>
                      <w:marRight w:val="0"/>
                      <w:marTop w:val="0"/>
                      <w:marBottom w:val="0"/>
                      <w:divBdr>
                        <w:top w:val="none" w:sz="0" w:space="0" w:color="auto"/>
                        <w:left w:val="none" w:sz="0" w:space="0" w:color="auto"/>
                        <w:bottom w:val="none" w:sz="0" w:space="0" w:color="auto"/>
                        <w:right w:val="none" w:sz="0" w:space="0" w:color="auto"/>
                      </w:divBdr>
                    </w:div>
                  </w:divsChild>
                </w:div>
                <w:div w:id="1829786845">
                  <w:marLeft w:val="0"/>
                  <w:marRight w:val="0"/>
                  <w:marTop w:val="0"/>
                  <w:marBottom w:val="0"/>
                  <w:divBdr>
                    <w:top w:val="none" w:sz="0" w:space="0" w:color="auto"/>
                    <w:left w:val="none" w:sz="0" w:space="0" w:color="auto"/>
                    <w:bottom w:val="none" w:sz="0" w:space="0" w:color="auto"/>
                    <w:right w:val="none" w:sz="0" w:space="0" w:color="auto"/>
                  </w:divBdr>
                  <w:divsChild>
                    <w:div w:id="321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915243">
      <w:bodyDiv w:val="1"/>
      <w:marLeft w:val="0"/>
      <w:marRight w:val="0"/>
      <w:marTop w:val="0"/>
      <w:marBottom w:val="0"/>
      <w:divBdr>
        <w:top w:val="none" w:sz="0" w:space="0" w:color="auto"/>
        <w:left w:val="none" w:sz="0" w:space="0" w:color="auto"/>
        <w:bottom w:val="none" w:sz="0" w:space="0" w:color="auto"/>
        <w:right w:val="none" w:sz="0" w:space="0" w:color="auto"/>
      </w:divBdr>
    </w:div>
    <w:div w:id="817579190">
      <w:bodyDiv w:val="1"/>
      <w:marLeft w:val="0"/>
      <w:marRight w:val="0"/>
      <w:marTop w:val="0"/>
      <w:marBottom w:val="0"/>
      <w:divBdr>
        <w:top w:val="none" w:sz="0" w:space="0" w:color="auto"/>
        <w:left w:val="none" w:sz="0" w:space="0" w:color="auto"/>
        <w:bottom w:val="none" w:sz="0" w:space="0" w:color="auto"/>
        <w:right w:val="none" w:sz="0" w:space="0" w:color="auto"/>
      </w:divBdr>
    </w:div>
    <w:div w:id="1033384157">
      <w:bodyDiv w:val="1"/>
      <w:marLeft w:val="0"/>
      <w:marRight w:val="0"/>
      <w:marTop w:val="0"/>
      <w:marBottom w:val="0"/>
      <w:divBdr>
        <w:top w:val="none" w:sz="0" w:space="0" w:color="auto"/>
        <w:left w:val="none" w:sz="0" w:space="0" w:color="auto"/>
        <w:bottom w:val="none" w:sz="0" w:space="0" w:color="auto"/>
        <w:right w:val="none" w:sz="0" w:space="0" w:color="auto"/>
      </w:divBdr>
    </w:div>
    <w:div w:id="1220362060">
      <w:bodyDiv w:val="1"/>
      <w:marLeft w:val="0"/>
      <w:marRight w:val="0"/>
      <w:marTop w:val="0"/>
      <w:marBottom w:val="0"/>
      <w:divBdr>
        <w:top w:val="none" w:sz="0" w:space="0" w:color="auto"/>
        <w:left w:val="none" w:sz="0" w:space="0" w:color="auto"/>
        <w:bottom w:val="none" w:sz="0" w:space="0" w:color="auto"/>
        <w:right w:val="none" w:sz="0" w:space="0" w:color="auto"/>
      </w:divBdr>
    </w:div>
    <w:div w:id="1517886747">
      <w:bodyDiv w:val="1"/>
      <w:marLeft w:val="0"/>
      <w:marRight w:val="0"/>
      <w:marTop w:val="0"/>
      <w:marBottom w:val="0"/>
      <w:divBdr>
        <w:top w:val="none" w:sz="0" w:space="0" w:color="auto"/>
        <w:left w:val="none" w:sz="0" w:space="0" w:color="auto"/>
        <w:bottom w:val="none" w:sz="0" w:space="0" w:color="auto"/>
        <w:right w:val="none" w:sz="0" w:space="0" w:color="auto"/>
      </w:divBdr>
    </w:div>
    <w:div w:id="1558740436">
      <w:bodyDiv w:val="1"/>
      <w:marLeft w:val="0"/>
      <w:marRight w:val="0"/>
      <w:marTop w:val="0"/>
      <w:marBottom w:val="0"/>
      <w:divBdr>
        <w:top w:val="none" w:sz="0" w:space="0" w:color="auto"/>
        <w:left w:val="none" w:sz="0" w:space="0" w:color="auto"/>
        <w:bottom w:val="none" w:sz="0" w:space="0" w:color="auto"/>
        <w:right w:val="none" w:sz="0" w:space="0" w:color="auto"/>
      </w:divBdr>
    </w:div>
    <w:div w:id="1760325573">
      <w:bodyDiv w:val="1"/>
      <w:marLeft w:val="0"/>
      <w:marRight w:val="0"/>
      <w:marTop w:val="0"/>
      <w:marBottom w:val="0"/>
      <w:divBdr>
        <w:top w:val="none" w:sz="0" w:space="0" w:color="auto"/>
        <w:left w:val="none" w:sz="0" w:space="0" w:color="auto"/>
        <w:bottom w:val="none" w:sz="0" w:space="0" w:color="auto"/>
        <w:right w:val="none" w:sz="0" w:space="0" w:color="auto"/>
      </w:divBdr>
      <w:divsChild>
        <w:div w:id="786241600">
          <w:marLeft w:val="-150"/>
          <w:marRight w:val="0"/>
          <w:marTop w:val="0"/>
          <w:marBottom w:val="0"/>
          <w:divBdr>
            <w:top w:val="none" w:sz="0" w:space="0" w:color="auto"/>
            <w:left w:val="none" w:sz="0" w:space="0" w:color="auto"/>
            <w:bottom w:val="none" w:sz="0" w:space="0" w:color="auto"/>
            <w:right w:val="none" w:sz="0" w:space="0" w:color="auto"/>
          </w:divBdr>
        </w:div>
      </w:divsChild>
    </w:div>
    <w:div w:id="1799447738">
      <w:bodyDiv w:val="1"/>
      <w:marLeft w:val="0"/>
      <w:marRight w:val="0"/>
      <w:marTop w:val="0"/>
      <w:marBottom w:val="0"/>
      <w:divBdr>
        <w:top w:val="none" w:sz="0" w:space="0" w:color="auto"/>
        <w:left w:val="none" w:sz="0" w:space="0" w:color="auto"/>
        <w:bottom w:val="none" w:sz="0" w:space="0" w:color="auto"/>
        <w:right w:val="none" w:sz="0" w:space="0" w:color="auto"/>
      </w:divBdr>
      <w:divsChild>
        <w:div w:id="34157752">
          <w:marLeft w:val="0"/>
          <w:marRight w:val="0"/>
          <w:marTop w:val="0"/>
          <w:marBottom w:val="0"/>
          <w:divBdr>
            <w:top w:val="none" w:sz="0" w:space="0" w:color="auto"/>
            <w:left w:val="none" w:sz="0" w:space="0" w:color="auto"/>
            <w:bottom w:val="none" w:sz="0" w:space="0" w:color="auto"/>
            <w:right w:val="none" w:sz="0" w:space="0" w:color="auto"/>
          </w:divBdr>
          <w:divsChild>
            <w:div w:id="1924139772">
              <w:marLeft w:val="375"/>
              <w:marRight w:val="375"/>
              <w:marTop w:val="0"/>
              <w:marBottom w:val="0"/>
              <w:divBdr>
                <w:top w:val="none" w:sz="0" w:space="0" w:color="auto"/>
                <w:left w:val="none" w:sz="0" w:space="0" w:color="auto"/>
                <w:bottom w:val="none" w:sz="0" w:space="0" w:color="auto"/>
                <w:right w:val="none" w:sz="0" w:space="0" w:color="auto"/>
              </w:divBdr>
              <w:divsChild>
                <w:div w:id="12035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603">
          <w:marLeft w:val="0"/>
          <w:marRight w:val="0"/>
          <w:marTop w:val="0"/>
          <w:marBottom w:val="0"/>
          <w:divBdr>
            <w:top w:val="none" w:sz="0" w:space="0" w:color="auto"/>
            <w:left w:val="none" w:sz="0" w:space="0" w:color="auto"/>
            <w:bottom w:val="none" w:sz="0" w:space="0" w:color="auto"/>
            <w:right w:val="none" w:sz="0" w:space="0" w:color="auto"/>
          </w:divBdr>
          <w:divsChild>
            <w:div w:id="1026248589">
              <w:marLeft w:val="375"/>
              <w:marRight w:val="375"/>
              <w:marTop w:val="0"/>
              <w:marBottom w:val="0"/>
              <w:divBdr>
                <w:top w:val="none" w:sz="0" w:space="0" w:color="auto"/>
                <w:left w:val="none" w:sz="0" w:space="0" w:color="auto"/>
                <w:bottom w:val="none" w:sz="0" w:space="0" w:color="auto"/>
                <w:right w:val="none" w:sz="0" w:space="0" w:color="auto"/>
              </w:divBdr>
              <w:divsChild>
                <w:div w:id="1609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5520">
          <w:marLeft w:val="0"/>
          <w:marRight w:val="0"/>
          <w:marTop w:val="0"/>
          <w:marBottom w:val="0"/>
          <w:divBdr>
            <w:top w:val="none" w:sz="0" w:space="0" w:color="auto"/>
            <w:left w:val="none" w:sz="0" w:space="0" w:color="auto"/>
            <w:bottom w:val="none" w:sz="0" w:space="0" w:color="auto"/>
            <w:right w:val="none" w:sz="0" w:space="0" w:color="auto"/>
          </w:divBdr>
          <w:divsChild>
            <w:div w:id="1411003383">
              <w:marLeft w:val="375"/>
              <w:marRight w:val="375"/>
              <w:marTop w:val="0"/>
              <w:marBottom w:val="0"/>
              <w:divBdr>
                <w:top w:val="none" w:sz="0" w:space="0" w:color="auto"/>
                <w:left w:val="none" w:sz="0" w:space="0" w:color="auto"/>
                <w:bottom w:val="none" w:sz="0" w:space="0" w:color="auto"/>
                <w:right w:val="none" w:sz="0" w:space="0" w:color="auto"/>
              </w:divBdr>
              <w:divsChild>
                <w:div w:id="3587457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812409253">
          <w:marLeft w:val="0"/>
          <w:marRight w:val="0"/>
          <w:marTop w:val="0"/>
          <w:marBottom w:val="0"/>
          <w:divBdr>
            <w:top w:val="none" w:sz="0" w:space="0" w:color="auto"/>
            <w:left w:val="none" w:sz="0" w:space="0" w:color="auto"/>
            <w:bottom w:val="none" w:sz="0" w:space="0" w:color="auto"/>
            <w:right w:val="none" w:sz="0" w:space="0" w:color="auto"/>
          </w:divBdr>
          <w:divsChild>
            <w:div w:id="1300453957">
              <w:marLeft w:val="375"/>
              <w:marRight w:val="375"/>
              <w:marTop w:val="0"/>
              <w:marBottom w:val="0"/>
              <w:divBdr>
                <w:top w:val="none" w:sz="0" w:space="0" w:color="auto"/>
                <w:left w:val="none" w:sz="0" w:space="0" w:color="auto"/>
                <w:bottom w:val="none" w:sz="0" w:space="0" w:color="auto"/>
                <w:right w:val="none" w:sz="0" w:space="0" w:color="auto"/>
              </w:divBdr>
              <w:divsChild>
                <w:div w:id="20841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11737">
          <w:marLeft w:val="0"/>
          <w:marRight w:val="0"/>
          <w:marTop w:val="0"/>
          <w:marBottom w:val="0"/>
          <w:divBdr>
            <w:top w:val="none" w:sz="0" w:space="0" w:color="auto"/>
            <w:left w:val="none" w:sz="0" w:space="0" w:color="auto"/>
            <w:bottom w:val="none" w:sz="0" w:space="0" w:color="auto"/>
            <w:right w:val="none" w:sz="0" w:space="0" w:color="auto"/>
          </w:divBdr>
          <w:divsChild>
            <w:div w:id="537081896">
              <w:marLeft w:val="375"/>
              <w:marRight w:val="375"/>
              <w:marTop w:val="0"/>
              <w:marBottom w:val="0"/>
              <w:divBdr>
                <w:top w:val="none" w:sz="0" w:space="0" w:color="auto"/>
                <w:left w:val="none" w:sz="0" w:space="0" w:color="auto"/>
                <w:bottom w:val="none" w:sz="0" w:space="0" w:color="auto"/>
                <w:right w:val="none" w:sz="0" w:space="0" w:color="auto"/>
              </w:divBdr>
              <w:divsChild>
                <w:div w:id="4235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10576">
          <w:marLeft w:val="0"/>
          <w:marRight w:val="0"/>
          <w:marTop w:val="0"/>
          <w:marBottom w:val="0"/>
          <w:divBdr>
            <w:top w:val="none" w:sz="0" w:space="0" w:color="auto"/>
            <w:left w:val="none" w:sz="0" w:space="0" w:color="auto"/>
            <w:bottom w:val="none" w:sz="0" w:space="0" w:color="auto"/>
            <w:right w:val="none" w:sz="0" w:space="0" w:color="auto"/>
          </w:divBdr>
          <w:divsChild>
            <w:div w:id="1249657366">
              <w:marLeft w:val="375"/>
              <w:marRight w:val="375"/>
              <w:marTop w:val="0"/>
              <w:marBottom w:val="0"/>
              <w:divBdr>
                <w:top w:val="none" w:sz="0" w:space="0" w:color="auto"/>
                <w:left w:val="none" w:sz="0" w:space="0" w:color="auto"/>
                <w:bottom w:val="none" w:sz="0" w:space="0" w:color="auto"/>
                <w:right w:val="none" w:sz="0" w:space="0" w:color="auto"/>
              </w:divBdr>
              <w:divsChild>
                <w:div w:id="8063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4435">
          <w:marLeft w:val="0"/>
          <w:marRight w:val="0"/>
          <w:marTop w:val="0"/>
          <w:marBottom w:val="0"/>
          <w:divBdr>
            <w:top w:val="none" w:sz="0" w:space="0" w:color="auto"/>
            <w:left w:val="none" w:sz="0" w:space="0" w:color="auto"/>
            <w:bottom w:val="none" w:sz="0" w:space="0" w:color="auto"/>
            <w:right w:val="none" w:sz="0" w:space="0" w:color="auto"/>
          </w:divBdr>
          <w:divsChild>
            <w:div w:id="1542783896">
              <w:marLeft w:val="375"/>
              <w:marRight w:val="375"/>
              <w:marTop w:val="0"/>
              <w:marBottom w:val="0"/>
              <w:divBdr>
                <w:top w:val="none" w:sz="0" w:space="0" w:color="auto"/>
                <w:left w:val="none" w:sz="0" w:space="0" w:color="auto"/>
                <w:bottom w:val="none" w:sz="0" w:space="0" w:color="auto"/>
                <w:right w:val="none" w:sz="0" w:space="0" w:color="auto"/>
              </w:divBdr>
              <w:divsChild>
                <w:div w:id="75670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16122">
          <w:marLeft w:val="0"/>
          <w:marRight w:val="0"/>
          <w:marTop w:val="0"/>
          <w:marBottom w:val="0"/>
          <w:divBdr>
            <w:top w:val="none" w:sz="0" w:space="0" w:color="auto"/>
            <w:left w:val="none" w:sz="0" w:space="0" w:color="auto"/>
            <w:bottom w:val="none" w:sz="0" w:space="0" w:color="auto"/>
            <w:right w:val="none" w:sz="0" w:space="0" w:color="auto"/>
          </w:divBdr>
          <w:divsChild>
            <w:div w:id="1958096495">
              <w:marLeft w:val="375"/>
              <w:marRight w:val="375"/>
              <w:marTop w:val="0"/>
              <w:marBottom w:val="0"/>
              <w:divBdr>
                <w:top w:val="none" w:sz="0" w:space="0" w:color="auto"/>
                <w:left w:val="none" w:sz="0" w:space="0" w:color="auto"/>
                <w:bottom w:val="none" w:sz="0" w:space="0" w:color="auto"/>
                <w:right w:val="none" w:sz="0" w:space="0" w:color="auto"/>
              </w:divBdr>
              <w:divsChild>
                <w:div w:id="1215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5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ts.gov/neabigread" TargetMode="External"/><Relationship Id="rId18" Type="http://schemas.openxmlformats.org/officeDocument/2006/relationships/hyperlink" Target="https://www.artsmidwest.org/resources/accessibility" TargetMode="External"/><Relationship Id="rId26" Type="http://schemas.openxmlformats.org/officeDocument/2006/relationships/hyperlink" Target="https://www.whitehouse.gov/sites/default/files/omb/assets/a129/rev_2013/pdf/a-129.pdf" TargetMode="External"/><Relationship Id="rId39" Type="http://schemas.openxmlformats.org/officeDocument/2006/relationships/hyperlink" Target="http://www.ecfr.gov/cgi-bin/retrieveECFR?gp=&amp;SID=b9261aed0d62129ad1a94e137dcfd9df&amp;mc=true&amp;n=pt2.1.200&amp;r=PART&amp;ty=HTML" TargetMode="External"/><Relationship Id="rId21" Type="http://schemas.openxmlformats.org/officeDocument/2006/relationships/hyperlink" Target="http://arts.gov/foia/reading-room/nea-limited-english-proficiency-policy-guidance" TargetMode="External"/><Relationship Id="rId34" Type="http://schemas.openxmlformats.org/officeDocument/2006/relationships/hyperlink" Target="http://www.ecfr.gov/cgi-bin/text-idx?c=ecfr&amp;amp;sid=48d6ee3b99d3b3a97b1bf189e1757786&amp;amp;rgn=div5&amp;amp;view=text&amp;amp;node=29:3.1.1.1.6&amp;amp;idno=29" TargetMode="External"/><Relationship Id="rId42" Type="http://schemas.openxmlformats.org/officeDocument/2006/relationships/hyperlink" Target="http://www.ecfr.gov/cgi-bin/text-idx?SID=b9261aed0d62129ad1a94e137dcfd9df&amp;mc=true&amp;node=pt2.1.200&amp;rgn=div5" TargetMode="External"/><Relationship Id="rId47" Type="http://schemas.openxmlformats.org/officeDocument/2006/relationships/image" Target="media/image1.jpeg"/><Relationship Id="rId50" Type="http://schemas.openxmlformats.org/officeDocument/2006/relationships/hyperlink" Target="https://www.arts.gov/news/working-media-toolkit"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dol.gov/oasam/regs/statutes/sec504.htm" TargetMode="External"/><Relationship Id="rId29" Type="http://schemas.openxmlformats.org/officeDocument/2006/relationships/hyperlink" Target="http://www.gpo.gov/fdsys" TargetMode="External"/><Relationship Id="rId11" Type="http://schemas.openxmlformats.org/officeDocument/2006/relationships/hyperlink" Target="mailto:neabigread@artsmidwest.org" TargetMode="External"/><Relationship Id="rId24" Type="http://schemas.openxmlformats.org/officeDocument/2006/relationships/hyperlink" Target="http://www.epa.gov/compliance/nepa/" TargetMode="External"/><Relationship Id="rId32" Type="http://schemas.openxmlformats.org/officeDocument/2006/relationships/hyperlink" Target="http://thomas.loc.gov/teachers/constitution.html" TargetMode="External"/><Relationship Id="rId37" Type="http://schemas.openxmlformats.org/officeDocument/2006/relationships/hyperlink" Target="http://www.ecfr.gov/cgi-bin/text-idx?node=2:1.1.2.2.1" TargetMode="External"/><Relationship Id="rId40" Type="http://schemas.openxmlformats.org/officeDocument/2006/relationships/hyperlink" Target="http://www.ecfr.gov/cgi-bin/retrieveECFR?gp=&amp;SID=b9261aed0d62129ad1a94e137dcfd9df&amp;mc=true&amp;n=pt2.1.200&amp;r=PART&amp;ty=HTML" TargetMode="External"/><Relationship Id="rId45" Type="http://schemas.openxmlformats.org/officeDocument/2006/relationships/hyperlink" Target="http://www.loc.gov/publish/cip/" TargetMode="External"/><Relationship Id="rId53" Type="http://schemas.openxmlformats.org/officeDocument/2006/relationships/header" Target="header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ada.gov/pubs/ada.htm" TargetMode="External"/><Relationship Id="rId31" Type="http://schemas.openxmlformats.org/officeDocument/2006/relationships/hyperlink" Target="http://www2.ed.gov/policy/fund/guid/constitutionday.html" TargetMode="External"/><Relationship Id="rId44" Type="http://schemas.openxmlformats.org/officeDocument/2006/relationships/hyperlink" Target="http://www.copyright.gov"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rts.gov/neabigread" TargetMode="External"/><Relationship Id="rId22" Type="http://schemas.openxmlformats.org/officeDocument/2006/relationships/hyperlink" Target="http://www.dol.gov/oasam/regs/statutes/titleix.htm" TargetMode="External"/><Relationship Id="rId27" Type="http://schemas.openxmlformats.org/officeDocument/2006/relationships/hyperlink" Target="http://www.ecfr.gov/cgi-bin/text-idx?SID=b9261aed0d62129ad1a94e137dcfd9df&amp;mc=true&amp;node=pt2.1.200&amp;rgn=div5" TargetMode="External"/><Relationship Id="rId30" Type="http://schemas.openxmlformats.org/officeDocument/2006/relationships/hyperlink" Target="http://www.nps.gov/nagpra/mandates/25usc3001etseq.htm" TargetMode="External"/><Relationship Id="rId35" Type="http://schemas.openxmlformats.org/officeDocument/2006/relationships/hyperlink" Target="http://www.ecfr.gov/cgi-bin/text-idx?node=2:1.1.2.2.1" TargetMode="External"/><Relationship Id="rId43" Type="http://schemas.openxmlformats.org/officeDocument/2006/relationships/hyperlink" Target="http://www.nea.gov/about/civil.html" TargetMode="External"/><Relationship Id="rId48" Type="http://schemas.openxmlformats.org/officeDocument/2006/relationships/image" Target="media/image2.jpeg"/><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artsmidwest.force.com/neabigread" TargetMode="External"/><Relationship Id="rId17" Type="http://schemas.openxmlformats.org/officeDocument/2006/relationships/hyperlink" Target="https://www.arts.gov/open-government/civil-rights-office/section-504-self-evaluation-workbook" TargetMode="External"/><Relationship Id="rId25" Type="http://schemas.openxmlformats.org/officeDocument/2006/relationships/hyperlink" Target="http://www.nps.gov/history/local-law/nhpa1966.htm" TargetMode="External"/><Relationship Id="rId33" Type="http://schemas.openxmlformats.org/officeDocument/2006/relationships/hyperlink" Target="http://www.gsa.gov/portal/content/103191" TargetMode="External"/><Relationship Id="rId38" Type="http://schemas.openxmlformats.org/officeDocument/2006/relationships/hyperlink" Target="http://www.ecfr.gov/cgi-bin/text-idx?SID=b9261aed0d62129ad1a94e137dcfd9df&amp;mc=true&amp;node=pt2.1.200&amp;rgn=div5" TargetMode="External"/><Relationship Id="rId46" Type="http://schemas.openxmlformats.org/officeDocument/2006/relationships/hyperlink" Target="mailto:neabigread@artsmidwest.org" TargetMode="External"/><Relationship Id="rId20" Type="http://schemas.openxmlformats.org/officeDocument/2006/relationships/hyperlink" Target="http://www.justice.gov/crt/about/cor/coord/titlevi.php" TargetMode="External"/><Relationship Id="rId41" Type="http://schemas.openxmlformats.org/officeDocument/2006/relationships/hyperlink" Target="http://arts.gov/sites/default/files/nea-guidance-for-audit-requirements-june2015.pdf"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ecfr.gov/cgi-bin/text-idx?node=2:1.1.2.2.1" TargetMode="External"/><Relationship Id="rId23" Type="http://schemas.openxmlformats.org/officeDocument/2006/relationships/hyperlink" Target="http://www.dol.gov/oasam/regs/statutes/age_act.htm" TargetMode="External"/><Relationship Id="rId28" Type="http://schemas.openxmlformats.org/officeDocument/2006/relationships/hyperlink" Target="https://ecfr.io/Title-45/pt45.3.1158" TargetMode="External"/><Relationship Id="rId36" Type="http://schemas.openxmlformats.org/officeDocument/2006/relationships/hyperlink" Target="http://www.ecfr.gov/cgi-bin/retrieveECFR?gp=&amp;SID=b9261aed0d62129ad1a94e137dcfd9df&amp;mc=true&amp;n=pt2.1.200&amp;r=PART&amp;ty=HTML" TargetMode="External"/><Relationship Id="rId49" Type="http://schemas.openxmlformats.org/officeDocument/2006/relationships/hyperlink" Target="https://www.artsmidwest.org/programs/neabigread/log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rtsMidwest">
  <a:themeElements>
    <a:clrScheme name="New Arts Midwest">
      <a:dk1>
        <a:sysClr val="windowText" lastClr="000000"/>
      </a:dk1>
      <a:lt1>
        <a:sysClr val="window" lastClr="FFFFFF"/>
      </a:lt1>
      <a:dk2>
        <a:srgbClr val="727174"/>
      </a:dk2>
      <a:lt2>
        <a:srgbClr val="EB6BB0"/>
      </a:lt2>
      <a:accent1>
        <a:srgbClr val="1D3F37"/>
      </a:accent1>
      <a:accent2>
        <a:srgbClr val="78A240"/>
      </a:accent2>
      <a:accent3>
        <a:srgbClr val="356F36"/>
      </a:accent3>
      <a:accent4>
        <a:srgbClr val="CADB2B"/>
      </a:accent4>
      <a:accent5>
        <a:srgbClr val="EF509C"/>
      </a:accent5>
      <a:accent6>
        <a:srgbClr val="FAC8D4"/>
      </a:accent6>
      <a:hlink>
        <a:srgbClr val="F48CA3"/>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84373D91A97746ABB6DA7C183BFB2D" ma:contentTypeVersion="13" ma:contentTypeDescription="Create a new document." ma:contentTypeScope="" ma:versionID="6b3b4fd915e73d872d74e55f7458d403">
  <xsd:schema xmlns:xsd="http://www.w3.org/2001/XMLSchema" xmlns:xs="http://www.w3.org/2001/XMLSchema" xmlns:p="http://schemas.microsoft.com/office/2006/metadata/properties" xmlns:ns2="7b682359-63f1-462e-8f4e-020d751d93db" xmlns:ns3="0e66cf1b-434c-4d04-b7e2-57063708f421" targetNamespace="http://schemas.microsoft.com/office/2006/metadata/properties" ma:root="true" ma:fieldsID="86e602cd979cab938d5a4be1404591de" ns2:_="" ns3:_="">
    <xsd:import namespace="7b682359-63f1-462e-8f4e-020d751d93db"/>
    <xsd:import namespace="0e66cf1b-434c-4d04-b7e2-57063708f4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82359-63f1-462e-8f4e-020d751d93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66cf1b-434c-4d04-b7e2-57063708f42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083CD-6CC7-4E20-9752-9693B4A98F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8BED6F-7899-4832-8FC4-C035743B8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82359-63f1-462e-8f4e-020d751d93db"/>
    <ds:schemaRef ds:uri="0e66cf1b-434c-4d04-b7e2-57063708f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908688-5C19-48F4-8844-08089827A409}">
  <ds:schemaRefs>
    <ds:schemaRef ds:uri="http://schemas.microsoft.com/sharepoint/v3/contenttype/forms"/>
  </ds:schemaRefs>
</ds:datastoreItem>
</file>

<file path=customXml/itemProps4.xml><?xml version="1.0" encoding="utf-8"?>
<ds:datastoreItem xmlns:ds="http://schemas.openxmlformats.org/officeDocument/2006/customXml" ds:itemID="{7CDFABB1-2376-4D63-9115-8DB9894F6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8506</Words>
  <Characters>48490</Characters>
  <Application>Microsoft Office Word</Application>
  <DocSecurity>0</DocSecurity>
  <Lines>404</Lines>
  <Paragraphs>113</Paragraphs>
  <ScaleCrop>false</ScaleCrop>
  <Company>All Covered</Company>
  <LinksUpToDate>false</LinksUpToDate>
  <CharactersWithSpaces>56883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Feist</dc:creator>
  <cp:keywords/>
  <dc:description/>
  <cp:lastModifiedBy>Ellen DeYoung</cp:lastModifiedBy>
  <cp:revision>5</cp:revision>
  <dcterms:created xsi:type="dcterms:W3CDTF">2022-10-18T15:44:00Z</dcterms:created>
  <dcterms:modified xsi:type="dcterms:W3CDTF">2022-10-18T15:48:00Z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0x0101005084373D91A97746ABB6DA7C183BFB2D</vt:lpwstr>
  </property>
  <property fmtid="{D5CDD505-2E9C-101B-9397-08002B2CF9AE}" pid="3" name="Order">
    <vt:r8>53200</vt:r8>
  </property>
</Properties>
</file>