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F9C8" w14:textId="77777777" w:rsidR="00F17BD8" w:rsidRDefault="00F17BD8" w:rsidP="006E5B59">
      <w:pPr>
        <w:pStyle w:val="Heading1"/>
      </w:pPr>
    </w:p>
    <w:p w14:paraId="0BAD31E7" w14:textId="296D0C68" w:rsidR="00475558" w:rsidRDefault="00475558" w:rsidP="00475558">
      <w:pPr>
        <w:pStyle w:val="Title"/>
      </w:pPr>
      <w:r>
        <w:t>Shakespeare in America</w:t>
      </w:r>
      <w:r w:rsidR="007F3DDD">
        <w:t>n</w:t>
      </w:r>
      <w:r>
        <w:t xml:space="preserve"> Communities: Schools</w:t>
      </w:r>
    </w:p>
    <w:p w14:paraId="0E601A5A" w14:textId="77777777" w:rsidR="00475558" w:rsidRPr="00A801B8" w:rsidRDefault="00475558" w:rsidP="00475558">
      <w:pPr>
        <w:pStyle w:val="Heading1"/>
        <w:rPr>
          <w:rStyle w:val="Heading3Char"/>
          <w:rFonts w:eastAsia="Epilogue Medium" w:cs="Epilogue Medium"/>
          <w:sz w:val="36"/>
          <w:szCs w:val="36"/>
        </w:rPr>
      </w:pPr>
      <w:r>
        <w:t>Application Guidelines</w:t>
      </w:r>
    </w:p>
    <w:p w14:paraId="17DFA15A" w14:textId="36432227" w:rsidR="00475558" w:rsidRDefault="00475558" w:rsidP="00475558">
      <w:pPr>
        <w:rPr>
          <w:b/>
          <w:bCs/>
        </w:rPr>
      </w:pPr>
      <w:r>
        <w:rPr>
          <w:b/>
          <w:bCs/>
        </w:rPr>
        <w:t xml:space="preserve">Intent to Apply Deadline: </w:t>
      </w:r>
      <w:r w:rsidR="00F92504">
        <w:rPr>
          <w:b/>
          <w:bCs/>
        </w:rPr>
        <w:t>January 25,</w:t>
      </w:r>
      <w:r>
        <w:rPr>
          <w:b/>
          <w:bCs/>
        </w:rPr>
        <w:t xml:space="preserve"> 202</w:t>
      </w:r>
      <w:r w:rsidR="00F92504">
        <w:rPr>
          <w:b/>
          <w:bCs/>
        </w:rPr>
        <w:t>4</w:t>
      </w:r>
      <w:r>
        <w:rPr>
          <w:b/>
          <w:bCs/>
        </w:rPr>
        <w:t xml:space="preserve"> @ 11:59p.m. Central </w:t>
      </w:r>
      <w:proofErr w:type="gramStart"/>
      <w:r>
        <w:rPr>
          <w:b/>
          <w:bCs/>
        </w:rPr>
        <w:t>time</w:t>
      </w:r>
      <w:proofErr w:type="gramEnd"/>
    </w:p>
    <w:p w14:paraId="793DA513" w14:textId="6A5A67E8" w:rsidR="00475558" w:rsidRPr="00FF7BB7" w:rsidRDefault="00475558" w:rsidP="00475558">
      <w:pPr>
        <w:rPr>
          <w:b/>
          <w:bCs/>
        </w:rPr>
      </w:pPr>
      <w:r w:rsidRPr="00FF7BB7">
        <w:rPr>
          <w:b/>
          <w:bCs/>
        </w:rPr>
        <w:t xml:space="preserve">Application Deadline: </w:t>
      </w:r>
      <w:r w:rsidR="00F92504">
        <w:rPr>
          <w:b/>
          <w:bCs/>
        </w:rPr>
        <w:t>February 8</w:t>
      </w:r>
      <w:r>
        <w:rPr>
          <w:b/>
          <w:bCs/>
        </w:rPr>
        <w:t>,</w:t>
      </w:r>
      <w:r w:rsidRPr="00FF7BB7">
        <w:rPr>
          <w:b/>
          <w:bCs/>
        </w:rPr>
        <w:t xml:space="preserve"> 202</w:t>
      </w:r>
      <w:r w:rsidR="00F92504">
        <w:rPr>
          <w:b/>
          <w:bCs/>
        </w:rPr>
        <w:t>4</w:t>
      </w:r>
      <w:r>
        <w:rPr>
          <w:b/>
          <w:bCs/>
        </w:rPr>
        <w:t xml:space="preserve"> @ 11:59p.m. Central time</w:t>
      </w:r>
    </w:p>
    <w:p w14:paraId="65F132C3" w14:textId="30308862" w:rsidR="002C5514" w:rsidRDefault="002C5514" w:rsidP="002C5514">
      <w:r>
        <w:t>Shakespeare in American Communities is a theater program of the National Endowment for the Arts in partnership with Arts Midwest. Through grants to theater companies</w:t>
      </w:r>
      <w:r w:rsidR="007E409A">
        <w:t>,</w:t>
      </w:r>
      <w:r>
        <w:t xml:space="preserve"> this program supports high-quality productions and educational activities </w:t>
      </w:r>
      <w:r w:rsidR="00863D81">
        <w:t>to young audiences</w:t>
      </w:r>
      <w:r>
        <w:t xml:space="preserve"> throughout the United States.</w:t>
      </w:r>
    </w:p>
    <w:p w14:paraId="3C57CFBA" w14:textId="77777777" w:rsidR="00081F39" w:rsidRDefault="00081F39" w:rsidP="00081F39">
      <w:pPr>
        <w:pStyle w:val="Heading2"/>
      </w:pPr>
      <w:r>
        <w:t>Eligibility</w:t>
      </w:r>
    </w:p>
    <w:p w14:paraId="0FC8EFEF" w14:textId="77777777" w:rsidR="00081F39" w:rsidRDefault="00081F39" w:rsidP="00081F39">
      <w:pPr>
        <w:pStyle w:val="Heading3"/>
      </w:pPr>
      <w:r>
        <w:t>Who should apply?</w:t>
      </w:r>
    </w:p>
    <w:p w14:paraId="112AFAD4" w14:textId="1510A3A9" w:rsidR="00701194" w:rsidRDefault="00701194" w:rsidP="00A71C94">
      <w:r w:rsidRPr="00F4259B">
        <w:t xml:space="preserve">501c3 non-profit </w:t>
      </w:r>
      <w:r w:rsidR="0005243C">
        <w:t>professional theat</w:t>
      </w:r>
      <w:r w:rsidR="002415DE">
        <w:t>er</w:t>
      </w:r>
      <w:r w:rsidR="0005243C">
        <w:t xml:space="preserve"> companies located in the U.S. </w:t>
      </w:r>
      <w:r w:rsidR="002415DE">
        <w:t>or the Native Nations that share this geography</w:t>
      </w:r>
      <w:r w:rsidR="00A71C94">
        <w:t xml:space="preserve"> and</w:t>
      </w:r>
      <w:r w:rsidR="00A50DAC">
        <w:t>:</w:t>
      </w:r>
    </w:p>
    <w:p w14:paraId="38E55FEC" w14:textId="2F9BAC3A" w:rsidR="00701194" w:rsidRDefault="002415DE" w:rsidP="00A71C94">
      <w:pPr>
        <w:pStyle w:val="ListParagraph"/>
        <w:numPr>
          <w:ilvl w:val="0"/>
          <w:numId w:val="12"/>
        </w:numPr>
      </w:pPr>
      <w:r>
        <w:t>Have a minimum of two years’ experience providing</w:t>
      </w:r>
      <w:r w:rsidR="0006363D">
        <w:t xml:space="preserve"> professional performances and related educational activities to middle and/or high schools.</w:t>
      </w:r>
    </w:p>
    <w:p w14:paraId="49D323DE" w14:textId="31134BDA" w:rsidR="00A50DAC" w:rsidRPr="00A50DAC" w:rsidRDefault="00A50DAC" w:rsidP="00A71C94">
      <w:pPr>
        <w:pStyle w:val="ListParagraph"/>
        <w:numPr>
          <w:ilvl w:val="0"/>
          <w:numId w:val="12"/>
        </w:numPr>
      </w:pPr>
      <w:r w:rsidRPr="00A50DAC">
        <w:t>C</w:t>
      </w:r>
      <w:r w:rsidR="00A71C94">
        <w:t>an c</w:t>
      </w:r>
      <w:r w:rsidRPr="00A50DAC">
        <w:t xml:space="preserve">ompensate all performers and related or supporting professional personnel at no less than the prevailing minimum compensation. (This requirement is in accordance with the regulations issued by the Secretary of Labor in part 505 of Title 29 of the </w:t>
      </w:r>
      <w:hyperlink r:id="rId11" w:history="1">
        <w:r w:rsidRPr="00D67197">
          <w:rPr>
            <w:rStyle w:val="Hyperlink"/>
          </w:rPr>
          <w:t>Code of Federal Regulations</w:t>
        </w:r>
      </w:hyperlink>
      <w:r w:rsidRPr="00A50DAC">
        <w:t>.)</w:t>
      </w:r>
    </w:p>
    <w:p w14:paraId="0459BEC7" w14:textId="77777777" w:rsidR="0070248D" w:rsidRDefault="0070248D" w:rsidP="00A71C94">
      <w:pPr>
        <w:pStyle w:val="ListParagraph"/>
        <w:numPr>
          <w:ilvl w:val="0"/>
          <w:numId w:val="12"/>
        </w:numPr>
      </w:pPr>
      <w:r>
        <w:t>Agree to acknowledge Arts Midwest and the National Endowment for the Arts in all programs and press materials related to funded engagements.</w:t>
      </w:r>
    </w:p>
    <w:p w14:paraId="01F87A9D" w14:textId="6EF2B4B4" w:rsidR="0070248D" w:rsidRDefault="0070248D" w:rsidP="00A71C94">
      <w:pPr>
        <w:pStyle w:val="ListParagraph"/>
        <w:numPr>
          <w:ilvl w:val="0"/>
          <w:numId w:val="12"/>
        </w:numPr>
      </w:pPr>
      <w:r>
        <w:t xml:space="preserve">Have a valid </w:t>
      </w:r>
      <w:hyperlink r:id="rId12" w:history="1">
        <w:r w:rsidRPr="00A71C94">
          <w:rPr>
            <w:rStyle w:val="Hyperlink"/>
          </w:rPr>
          <w:t>Unique Entity ID (UEI)</w:t>
        </w:r>
      </w:hyperlink>
      <w:r>
        <w:t xml:space="preserve"> via SAM.gov (free to acquire).</w:t>
      </w:r>
    </w:p>
    <w:p w14:paraId="1D543E0F" w14:textId="030A9D67" w:rsidR="006E5B59" w:rsidRDefault="0070248D" w:rsidP="00A71C94">
      <w:pPr>
        <w:pStyle w:val="ListParagraph"/>
        <w:numPr>
          <w:ilvl w:val="0"/>
          <w:numId w:val="12"/>
        </w:numPr>
      </w:pPr>
      <w:r>
        <w:t>C</w:t>
      </w:r>
      <w:r w:rsidR="00A71C94">
        <w:t>an c</w:t>
      </w:r>
      <w:r>
        <w:t xml:space="preserve">omply with </w:t>
      </w:r>
      <w:hyperlink r:id="rId13" w:history="1">
        <w:r w:rsidRPr="00126B08">
          <w:rPr>
            <w:rStyle w:val="Hyperlink"/>
          </w:rPr>
          <w:t>Federal eligibility requirements</w:t>
        </w:r>
      </w:hyperlink>
      <w:r>
        <w:t xml:space="preserve">. </w:t>
      </w:r>
    </w:p>
    <w:p w14:paraId="49EFC50C" w14:textId="77777777" w:rsidR="00322D6C" w:rsidRDefault="00322D6C" w:rsidP="00322D6C">
      <w:pPr>
        <w:pStyle w:val="Heading2"/>
      </w:pPr>
      <w:r>
        <w:t>Project Requirements</w:t>
      </w:r>
    </w:p>
    <w:p w14:paraId="5467D417" w14:textId="46D85CAD" w:rsidR="00EE7056" w:rsidRDefault="00EE7056" w:rsidP="00EE7056">
      <w:pPr>
        <w:pStyle w:val="Heading3"/>
      </w:pPr>
      <w:r>
        <w:t>New this year!</w:t>
      </w:r>
    </w:p>
    <w:p w14:paraId="6768F3C8" w14:textId="2749D301" w:rsidR="008C6B3B" w:rsidRPr="00E25944" w:rsidRDefault="008A34B0" w:rsidP="00EE7056">
      <w:pPr>
        <w:spacing w:after="0"/>
      </w:pPr>
      <w:r w:rsidRPr="00E25944">
        <w:t>Grantees</w:t>
      </w:r>
      <w:r w:rsidR="00F96E13" w:rsidRPr="00E25944">
        <w:t xml:space="preserve"> are not required to </w:t>
      </w:r>
      <w:r w:rsidR="009F343C" w:rsidRPr="00E25944">
        <w:t>produce original Shakespeare plays. Rather, they</w:t>
      </w:r>
      <w:r w:rsidRPr="00E25944">
        <w:t xml:space="preserve"> </w:t>
      </w:r>
      <w:r w:rsidR="00D559C2" w:rsidRPr="00E25944">
        <w:t xml:space="preserve">may conduct performances and educational activities using </w:t>
      </w:r>
      <w:r w:rsidR="00032FDE" w:rsidRPr="00E25944">
        <w:t xml:space="preserve">the works of William </w:t>
      </w:r>
      <w:r w:rsidR="00D559C2" w:rsidRPr="00E25944">
        <w:t xml:space="preserve">Shakespeare as an </w:t>
      </w:r>
      <w:r w:rsidR="00D559C2" w:rsidRPr="00E25944">
        <w:lastRenderedPageBreak/>
        <w:t>inspiration</w:t>
      </w:r>
      <w:r w:rsidR="00F96E13" w:rsidRPr="00E25944">
        <w:t xml:space="preserve">. </w:t>
      </w:r>
      <w:r w:rsidR="008C6B3B" w:rsidRPr="00E25944">
        <w:t xml:space="preserve">Applicants will need to provide a short explanation about how the </w:t>
      </w:r>
      <w:r w:rsidR="00131E1E" w:rsidRPr="00E25944">
        <w:t>play(s) they will use</w:t>
      </w:r>
      <w:r w:rsidR="008C6B3B" w:rsidRPr="00E25944">
        <w:t xml:space="preserve"> relate</w:t>
      </w:r>
      <w:r w:rsidR="00131E1E" w:rsidRPr="00E25944">
        <w:t>(s)</w:t>
      </w:r>
      <w:r w:rsidR="008C6B3B" w:rsidRPr="00E25944">
        <w:t xml:space="preserve"> </w:t>
      </w:r>
      <w:r w:rsidR="00601F1E" w:rsidRPr="00E25944">
        <w:t>to Shakespeare</w:t>
      </w:r>
      <w:r w:rsidR="008C6B3B" w:rsidRPr="00E25944">
        <w:t>.</w:t>
      </w:r>
    </w:p>
    <w:p w14:paraId="5993E589" w14:textId="77777777" w:rsidR="00131E1E" w:rsidRPr="00E25944" w:rsidRDefault="00131E1E" w:rsidP="00EE7056">
      <w:pPr>
        <w:spacing w:after="0"/>
      </w:pPr>
    </w:p>
    <w:p w14:paraId="390B9209" w14:textId="432E7CE2" w:rsidR="0086773E" w:rsidRPr="00E25944" w:rsidRDefault="00F96E13" w:rsidP="0097591F">
      <w:pPr>
        <w:spacing w:after="0"/>
      </w:pPr>
      <w:r w:rsidRPr="00E25944">
        <w:t>Grantees</w:t>
      </w:r>
      <w:r w:rsidR="00EE7056" w:rsidRPr="00E25944">
        <w:t xml:space="preserve"> </w:t>
      </w:r>
      <w:r w:rsidR="00FD0929" w:rsidRPr="00E25944">
        <w:t>may conduct performances and educational activities outside of a</w:t>
      </w:r>
      <w:r w:rsidR="009F343C" w:rsidRPr="00E25944">
        <w:t xml:space="preserve"> formal</w:t>
      </w:r>
      <w:r w:rsidR="00FD0929" w:rsidRPr="00E25944">
        <w:t xml:space="preserve"> educational </w:t>
      </w:r>
      <w:r w:rsidR="002959BE" w:rsidRPr="00E25944">
        <w:t>institution</w:t>
      </w:r>
      <w:r w:rsidR="00FD0929" w:rsidRPr="00E25944">
        <w:t>. For example, activities may take place</w:t>
      </w:r>
      <w:r w:rsidR="002959BE" w:rsidRPr="00E25944">
        <w:t xml:space="preserve"> in community settings (e.g., libraries, </w:t>
      </w:r>
      <w:r w:rsidR="008C20BF" w:rsidRPr="00E25944">
        <w:t xml:space="preserve">community centers, </w:t>
      </w:r>
      <w:r w:rsidR="00230659" w:rsidRPr="00E25944">
        <w:t>squares and plazas, markets, parks, etc.)</w:t>
      </w:r>
      <w:r w:rsidR="0024421F" w:rsidRPr="00E25944">
        <w:t xml:space="preserve"> Activities must still reach middle/high school age participants. </w:t>
      </w:r>
    </w:p>
    <w:p w14:paraId="4F2C5B83" w14:textId="77777777" w:rsidR="0086773E" w:rsidRPr="00E25944" w:rsidRDefault="0086773E" w:rsidP="0097591F">
      <w:pPr>
        <w:spacing w:after="0"/>
      </w:pPr>
    </w:p>
    <w:p w14:paraId="44887199" w14:textId="170CF187" w:rsidR="00E41543" w:rsidRPr="00E25944" w:rsidRDefault="0024421F" w:rsidP="2AB09C3E">
      <w:pPr>
        <w:spacing w:after="0"/>
      </w:pPr>
      <w:r w:rsidRPr="00E25944">
        <w:t>The goal of th</w:t>
      </w:r>
      <w:r w:rsidR="0086773E" w:rsidRPr="00E25944">
        <w:t>ese</w:t>
      </w:r>
      <w:r w:rsidRPr="00E25944">
        <w:t xml:space="preserve"> change</w:t>
      </w:r>
      <w:r w:rsidR="0086773E" w:rsidRPr="00E25944">
        <w:t>s</w:t>
      </w:r>
      <w:r w:rsidRPr="00E25944">
        <w:t xml:space="preserve"> is to </w:t>
      </w:r>
      <w:r w:rsidR="009F343C" w:rsidRPr="00E25944">
        <w:t xml:space="preserve">provide </w:t>
      </w:r>
      <w:r w:rsidRPr="00E25944">
        <w:t>theater companies more</w:t>
      </w:r>
      <w:r w:rsidR="009F343C" w:rsidRPr="00E25944">
        <w:t xml:space="preserve"> flexibility in engaging audiences across thei</w:t>
      </w:r>
      <w:r w:rsidR="597E6798" w:rsidRPr="00E25944">
        <w:t>r</w:t>
      </w:r>
      <w:r w:rsidR="009F343C" w:rsidRPr="00E25944">
        <w:t xml:space="preserve"> communities. </w:t>
      </w:r>
      <w:r w:rsidR="0086773E" w:rsidRPr="00E25944">
        <w:t xml:space="preserve"> </w:t>
      </w:r>
    </w:p>
    <w:p w14:paraId="78A22694" w14:textId="3B0BAFF8" w:rsidR="00E41543" w:rsidRPr="00777782" w:rsidRDefault="00E41543" w:rsidP="00793031">
      <w:pPr>
        <w:pStyle w:val="Heading3"/>
      </w:pPr>
      <w:r>
        <w:t xml:space="preserve">Perform </w:t>
      </w:r>
      <w:r w:rsidRPr="2AB09C3E">
        <w:rPr>
          <w:rStyle w:val="normaltextrun"/>
          <w:rFonts w:cs="Segoe UI"/>
          <w:b/>
          <w:bCs/>
          <w:color w:val="0D0D0D" w:themeColor="text1" w:themeTint="F2"/>
        </w:rPr>
        <w:t xml:space="preserve">a play </w:t>
      </w:r>
      <w:r w:rsidR="00925929" w:rsidRPr="2AB09C3E">
        <w:rPr>
          <w:rStyle w:val="normaltextrun"/>
          <w:rFonts w:cs="Segoe UI"/>
          <w:b/>
          <w:bCs/>
          <w:color w:val="0D0D0D" w:themeColor="text1" w:themeTint="F2"/>
        </w:rPr>
        <w:t xml:space="preserve">written </w:t>
      </w:r>
      <w:r w:rsidR="00780960" w:rsidRPr="2AB09C3E">
        <w:rPr>
          <w:rStyle w:val="normaltextrun"/>
          <w:rFonts w:cs="Segoe UI"/>
          <w:b/>
          <w:bCs/>
          <w:color w:val="0D0D0D" w:themeColor="text1" w:themeTint="F2"/>
        </w:rPr>
        <w:t>by (or inspired by) William Shakespeare</w:t>
      </w:r>
      <w:r w:rsidRPr="2AB09C3E">
        <w:rPr>
          <w:rStyle w:val="normaltextrun"/>
          <w:rFonts w:cs="Segoe UI"/>
          <w:b/>
          <w:bCs/>
          <w:color w:val="0D0D0D" w:themeColor="text1" w:themeTint="F2"/>
        </w:rPr>
        <w:t xml:space="preserve">; an adaptation of Shakespeare’s text; or a production that incorporates scenes, monologues, and/or sonnets by Shakespeare. </w:t>
      </w:r>
      <w:r w:rsidRPr="2AB09C3E">
        <w:rPr>
          <w:rStyle w:val="eop"/>
          <w:rFonts w:cs="Segoe UI"/>
          <w:b/>
          <w:bCs/>
          <w:color w:val="0D0D0D" w:themeColor="text1" w:themeTint="F2"/>
        </w:rPr>
        <w:t> </w:t>
      </w:r>
    </w:p>
    <w:p w14:paraId="774747F0" w14:textId="1326546E" w:rsidR="00E41543" w:rsidRPr="003F2084" w:rsidRDefault="00E41543" w:rsidP="00E41543">
      <w:pPr>
        <w:pStyle w:val="ListParagraph"/>
        <w:numPr>
          <w:ilvl w:val="0"/>
          <w:numId w:val="16"/>
        </w:numPr>
        <w:spacing w:after="120" w:line="360" w:lineRule="auto"/>
        <w:rPr>
          <w:color w:val="0D0D0D" w:themeColor="text1" w:themeTint="F2"/>
        </w:rPr>
      </w:pPr>
      <w:r w:rsidRPr="003F2084">
        <w:rPr>
          <w:color w:val="0D0D0D" w:themeColor="text1" w:themeTint="F2"/>
        </w:rPr>
        <w:t xml:space="preserve">The actors </w:t>
      </w:r>
      <w:r w:rsidRPr="003F2084">
        <w:rPr>
          <w:rStyle w:val="normaltextrun"/>
          <w:rFonts w:cs="Segoe UI"/>
          <w:color w:val="0D0D0D" w:themeColor="text1" w:themeTint="F2"/>
        </w:rPr>
        <w:t xml:space="preserve">in the production must be professionals, paid at no less than the prevailing minimum compensation. </w:t>
      </w:r>
      <w:r w:rsidRPr="003F2084">
        <w:rPr>
          <w:rStyle w:val="eop"/>
          <w:rFonts w:cs="Segoe UI"/>
          <w:color w:val="0D0D0D" w:themeColor="text1" w:themeTint="F2"/>
        </w:rPr>
        <w:t xml:space="preserve">(This requirement is in accordance with the regulations issued by the Secretary of Labor in part 505 of Title 29 of the </w:t>
      </w:r>
      <w:hyperlink r:id="rId14">
        <w:r w:rsidRPr="003F2084">
          <w:rPr>
            <w:rStyle w:val="Hyperlink"/>
            <w:rFonts w:cs="Segoe UI"/>
            <w:color w:val="0D0D0D" w:themeColor="text1" w:themeTint="F2"/>
          </w:rPr>
          <w:t>Code of Federal Regulations</w:t>
        </w:r>
      </w:hyperlink>
      <w:r w:rsidRPr="003F2084">
        <w:rPr>
          <w:rStyle w:val="eop"/>
          <w:rFonts w:cs="Segoe UI"/>
          <w:color w:val="0D0D0D" w:themeColor="text1" w:themeTint="F2"/>
        </w:rPr>
        <w:t xml:space="preserve">.) </w:t>
      </w:r>
      <w:r w:rsidRPr="003F2084">
        <w:rPr>
          <w:rStyle w:val="normaltextrun"/>
          <w:rFonts w:cs="Segoe UI"/>
          <w:color w:val="0D0D0D" w:themeColor="text1" w:themeTint="F2"/>
        </w:rPr>
        <w:t>It is not required that actors be part of an Actors’ Equity contract.</w:t>
      </w:r>
    </w:p>
    <w:p w14:paraId="049FBDE6" w14:textId="77777777" w:rsidR="00E41543" w:rsidRPr="00E94E64" w:rsidRDefault="00E41543" w:rsidP="00E41543">
      <w:pPr>
        <w:pStyle w:val="ListParagraph"/>
        <w:numPr>
          <w:ilvl w:val="0"/>
          <w:numId w:val="16"/>
        </w:numPr>
        <w:spacing w:after="120" w:line="360" w:lineRule="auto"/>
        <w:rPr>
          <w:color w:val="0D0D0D" w:themeColor="text1" w:themeTint="F2"/>
        </w:rPr>
      </w:pPr>
      <w:r w:rsidRPr="2AB09C3E">
        <w:rPr>
          <w:color w:val="0D0D0D" w:themeColor="text1" w:themeTint="F2"/>
        </w:rPr>
        <w:t>Performances may be held in a theater company’s facility, a school, a community venue, or virtually.</w:t>
      </w:r>
    </w:p>
    <w:p w14:paraId="7F44CFD5" w14:textId="5C6CA329" w:rsidR="00E41543" w:rsidRPr="00793031" w:rsidRDefault="00E41543" w:rsidP="00793031">
      <w:pPr>
        <w:pStyle w:val="Heading3"/>
        <w:rPr>
          <w:rFonts w:eastAsia="Times New Roman"/>
        </w:rPr>
      </w:pPr>
      <w:r w:rsidRPr="2AB09C3E">
        <w:rPr>
          <w:rFonts w:eastAsia="Times New Roman"/>
        </w:rPr>
        <w:t xml:space="preserve">Conduct educational activities with </w:t>
      </w:r>
      <w:r w:rsidR="00AA3118" w:rsidRPr="2AB09C3E">
        <w:rPr>
          <w:rFonts w:eastAsia="Times New Roman"/>
        </w:rPr>
        <w:t>young audiences</w:t>
      </w:r>
      <w:r w:rsidRPr="2AB09C3E">
        <w:rPr>
          <w:rFonts w:eastAsia="Times New Roman"/>
        </w:rPr>
        <w:t xml:space="preserve"> that explore and address Shakespeare’s work in modern context.</w:t>
      </w:r>
    </w:p>
    <w:p w14:paraId="0DE60FD3" w14:textId="77777777" w:rsidR="00E41543" w:rsidRPr="00E94E64" w:rsidRDefault="00E41543" w:rsidP="00E41543">
      <w:pPr>
        <w:pStyle w:val="ListParagraph"/>
        <w:numPr>
          <w:ilvl w:val="0"/>
          <w:numId w:val="14"/>
        </w:numPr>
        <w:spacing w:after="120" w:line="360" w:lineRule="auto"/>
        <w:rPr>
          <w:color w:val="0D0D0D" w:themeColor="text1" w:themeTint="F2"/>
        </w:rPr>
      </w:pPr>
      <w:r w:rsidRPr="00E94E64">
        <w:rPr>
          <w:color w:val="0D0D0D" w:themeColor="text1" w:themeTint="F2"/>
        </w:rPr>
        <w:t xml:space="preserve">Activities </w:t>
      </w:r>
      <w:r w:rsidRPr="00E94E64">
        <w:rPr>
          <w:rStyle w:val="normaltextrun"/>
          <w:rFonts w:cs="Segoe UI"/>
          <w:color w:val="0D0D0D" w:themeColor="text1" w:themeTint="F2"/>
        </w:rPr>
        <w:t>must be led by experienced teaching artists, educators, or actors with strong credentials and training.</w:t>
      </w:r>
    </w:p>
    <w:p w14:paraId="4DF9C56D" w14:textId="77777777" w:rsidR="00E41543" w:rsidRPr="00E94E64" w:rsidRDefault="00E41543" w:rsidP="00E41543">
      <w:pPr>
        <w:pStyle w:val="ListParagraph"/>
        <w:numPr>
          <w:ilvl w:val="0"/>
          <w:numId w:val="14"/>
        </w:numPr>
        <w:spacing w:after="120" w:line="360" w:lineRule="auto"/>
        <w:rPr>
          <w:color w:val="0D0D0D" w:themeColor="text1" w:themeTint="F2"/>
        </w:rPr>
      </w:pPr>
      <w:r w:rsidRPr="00E94E64">
        <w:rPr>
          <w:color w:val="0D0D0D" w:themeColor="text1" w:themeTint="F2"/>
        </w:rPr>
        <w:t xml:space="preserve">Examples </w:t>
      </w:r>
      <w:r w:rsidRPr="00E94E64">
        <w:rPr>
          <w:rStyle w:val="normaltextrun"/>
          <w:rFonts w:cs="Segoe UI"/>
          <w:color w:val="0D0D0D" w:themeColor="text1" w:themeTint="F2"/>
        </w:rPr>
        <w:t xml:space="preserve">include workshops, pre- or post-performance discussions/talkbacks, curriculum-based residencies, or other activities that offer interaction between students and teaching artists or actors. Study guides </w:t>
      </w:r>
      <w:r w:rsidRPr="00E94E64">
        <w:rPr>
          <w:rStyle w:val="normaltextrun"/>
          <w:rFonts w:cs="Segoe UI"/>
          <w:i/>
          <w:iCs/>
          <w:color w:val="0D0D0D" w:themeColor="text1" w:themeTint="F2"/>
        </w:rPr>
        <w:t>do not</w:t>
      </w:r>
      <w:r w:rsidRPr="00E94E64">
        <w:rPr>
          <w:rStyle w:val="normaltextrun"/>
          <w:rFonts w:cs="Segoe UI"/>
          <w:color w:val="0D0D0D" w:themeColor="text1" w:themeTint="F2"/>
        </w:rPr>
        <w:t xml:space="preserve"> qualify as an activity.</w:t>
      </w:r>
    </w:p>
    <w:p w14:paraId="0217D426" w14:textId="77777777" w:rsidR="00E41543" w:rsidRPr="00E94E64" w:rsidRDefault="00E41543" w:rsidP="00E41543">
      <w:pPr>
        <w:pStyle w:val="ListParagraph"/>
        <w:numPr>
          <w:ilvl w:val="0"/>
          <w:numId w:val="14"/>
        </w:numPr>
        <w:spacing w:after="120" w:line="360" w:lineRule="auto"/>
        <w:rPr>
          <w:rStyle w:val="normaltextrun"/>
          <w:color w:val="0D0D0D" w:themeColor="text1" w:themeTint="F2"/>
        </w:rPr>
      </w:pPr>
      <w:r w:rsidRPr="00E94E64">
        <w:rPr>
          <w:color w:val="0D0D0D" w:themeColor="text1" w:themeTint="F2"/>
        </w:rPr>
        <w:t xml:space="preserve">Activities </w:t>
      </w:r>
      <w:r w:rsidRPr="00E94E64">
        <w:rPr>
          <w:rStyle w:val="normaltextrun"/>
          <w:rFonts w:cs="Segoe UI"/>
          <w:color w:val="0D0D0D" w:themeColor="text1" w:themeTint="F2"/>
        </w:rPr>
        <w:t>must be related to the production being performed for students.</w:t>
      </w:r>
    </w:p>
    <w:p w14:paraId="67325858" w14:textId="77777777" w:rsidR="00E41543" w:rsidRPr="00E94E64" w:rsidRDefault="00E41543" w:rsidP="00E41543">
      <w:pPr>
        <w:pStyle w:val="ListParagraph"/>
        <w:numPr>
          <w:ilvl w:val="0"/>
          <w:numId w:val="14"/>
        </w:numPr>
        <w:spacing w:after="120" w:line="360" w:lineRule="auto"/>
        <w:rPr>
          <w:rStyle w:val="normaltextrun"/>
          <w:color w:val="0D0D0D" w:themeColor="text1" w:themeTint="F2"/>
        </w:rPr>
      </w:pPr>
      <w:r w:rsidRPr="00E94E64">
        <w:rPr>
          <w:rStyle w:val="normaltextrun"/>
          <w:rFonts w:cs="Segoe UI"/>
          <w:color w:val="0D0D0D" w:themeColor="text1" w:themeTint="F2"/>
        </w:rPr>
        <w:t xml:space="preserve">Virtual and/or pre-recorded activities are eligible </w:t>
      </w:r>
      <w:proofErr w:type="gramStart"/>
      <w:r w:rsidRPr="00E94E64">
        <w:rPr>
          <w:rStyle w:val="normaltextrun"/>
          <w:rFonts w:cs="Segoe UI"/>
          <w:color w:val="0D0D0D" w:themeColor="text1" w:themeTint="F2"/>
        </w:rPr>
        <w:t>as long as</w:t>
      </w:r>
      <w:proofErr w:type="gramEnd"/>
      <w:r w:rsidRPr="00E94E64">
        <w:rPr>
          <w:rStyle w:val="normaltextrun"/>
          <w:rFonts w:cs="Segoe UI"/>
          <w:color w:val="0D0D0D" w:themeColor="text1" w:themeTint="F2"/>
        </w:rPr>
        <w:t xml:space="preserve"> students have the opportunity to interact live and in real-time with teaching artists in some capacity.</w:t>
      </w:r>
    </w:p>
    <w:p w14:paraId="4FBE64AE" w14:textId="77777777" w:rsidR="00793031" w:rsidRDefault="00E41543" w:rsidP="00793031">
      <w:pPr>
        <w:pStyle w:val="Heading3"/>
        <w:rPr>
          <w:rFonts w:eastAsia="Times New Roman"/>
        </w:rPr>
      </w:pPr>
      <w:r w:rsidRPr="00793031">
        <w:rPr>
          <w:rFonts w:eastAsia="Times New Roman"/>
        </w:rPr>
        <w:lastRenderedPageBreak/>
        <w:t>Reach five or more middle and/or high school</w:t>
      </w:r>
      <w:r w:rsidR="00866420" w:rsidRPr="00793031">
        <w:rPr>
          <w:rFonts w:eastAsia="Times New Roman"/>
        </w:rPr>
        <w:t>-age</w:t>
      </w:r>
      <w:r w:rsidR="00DE2170" w:rsidRPr="00793031">
        <w:rPr>
          <w:rFonts w:eastAsia="Times New Roman"/>
        </w:rPr>
        <w:t>, underserved</w:t>
      </w:r>
      <w:r w:rsidR="00866420" w:rsidRPr="00793031">
        <w:rPr>
          <w:rFonts w:eastAsia="Times New Roman"/>
        </w:rPr>
        <w:t xml:space="preserve"> </w:t>
      </w:r>
      <w:r w:rsidR="00E94C5D" w:rsidRPr="00793031">
        <w:rPr>
          <w:rFonts w:eastAsia="Times New Roman"/>
        </w:rPr>
        <w:t>audiences</w:t>
      </w:r>
      <w:r w:rsidRPr="00793031">
        <w:rPr>
          <w:rFonts w:eastAsia="Times New Roman"/>
        </w:rPr>
        <w:t xml:space="preserve"> with performance</w:t>
      </w:r>
      <w:r w:rsidR="00E94C5D" w:rsidRPr="00793031">
        <w:rPr>
          <w:rFonts w:eastAsia="Times New Roman"/>
        </w:rPr>
        <w:t>s</w:t>
      </w:r>
      <w:r w:rsidRPr="00793031">
        <w:rPr>
          <w:rFonts w:eastAsia="Times New Roman"/>
        </w:rPr>
        <w:t xml:space="preserve"> and related educational activities. </w:t>
      </w:r>
    </w:p>
    <w:p w14:paraId="5F4E8199" w14:textId="77777777" w:rsidR="00BE20F8" w:rsidRDefault="00BE20F8" w:rsidP="00BE20F8">
      <w:r>
        <w:t xml:space="preserve">Underserved refers to groups whose opportunities to experience the arts are limited relative to geography, ethnicity, economics, or disability. Audiences could include, but are not limited to, communities of color, people with disabilities, older adults, rural areas, reservations, lower income communities, LGBTQ+ communities, veterans, and justice-impacted citizens. </w:t>
      </w:r>
    </w:p>
    <w:p w14:paraId="21C0B310" w14:textId="77777777" w:rsidR="00E41543" w:rsidRPr="00EE7056" w:rsidRDefault="00E41543" w:rsidP="0086773E">
      <w:pPr>
        <w:spacing w:after="0"/>
      </w:pPr>
    </w:p>
    <w:p w14:paraId="0E08F327" w14:textId="77777777" w:rsidR="0051137B" w:rsidRDefault="0051137B" w:rsidP="0051137B">
      <w:pPr>
        <w:pStyle w:val="Heading2"/>
      </w:pPr>
      <w:r>
        <w:t>Grant Awards</w:t>
      </w:r>
    </w:p>
    <w:p w14:paraId="71E7A569" w14:textId="77777777" w:rsidR="00165297" w:rsidRDefault="00165297" w:rsidP="00165297">
      <w:r w:rsidRPr="18FF0503">
        <w:rPr>
          <w:b/>
          <w:bCs/>
        </w:rPr>
        <w:t xml:space="preserve">Applicants may request grant awards ranging from $15,000 to $25,000. </w:t>
      </w:r>
      <w:r>
        <w:t xml:space="preserve"> These grants are federal funds from the National Endowment for the Arts. </w:t>
      </w:r>
      <w:r w:rsidRPr="18FF0503">
        <w:rPr>
          <w:rFonts w:eastAsia="Georgia" w:cs="Georgia"/>
        </w:rPr>
        <w:t xml:space="preserve">These funds derive from Federal funds from the National Endowment for the Arts (CFDA #45.024: Promotion of the </w:t>
      </w:r>
      <w:proofErr w:type="spellStart"/>
      <w:r w:rsidRPr="18FF0503">
        <w:rPr>
          <w:rFonts w:eastAsia="Georgia" w:cs="Georgia"/>
        </w:rPr>
        <w:t>Arts_Grants</w:t>
      </w:r>
      <w:proofErr w:type="spellEnd"/>
      <w:r w:rsidRPr="18FF0503">
        <w:rPr>
          <w:rFonts w:eastAsia="Georgia" w:cs="Georgia"/>
        </w:rPr>
        <w:t xml:space="preserve"> to Organizations and Individuals).</w:t>
      </w:r>
    </w:p>
    <w:p w14:paraId="5EC1A6AD" w14:textId="77777777" w:rsidR="00165297" w:rsidRDefault="00165297" w:rsidP="00165297">
      <w:pPr>
        <w:rPr>
          <w:rFonts w:eastAsia="Georgia" w:cs="Georgia"/>
        </w:rPr>
      </w:pPr>
      <w:r w:rsidRPr="18FF0503">
        <w:rPr>
          <w:rFonts w:eastAsia="Georgia" w:cs="Georgia"/>
        </w:rPr>
        <w:t xml:space="preserve">An organization may apply to both the </w:t>
      </w:r>
      <w:proofErr w:type="gramStart"/>
      <w:r w:rsidRPr="18FF0503">
        <w:rPr>
          <w:rFonts w:eastAsia="Georgia" w:cs="Georgia"/>
        </w:rPr>
        <w:t>Schools</w:t>
      </w:r>
      <w:proofErr w:type="gramEnd"/>
      <w:r w:rsidRPr="18FF0503">
        <w:rPr>
          <w:rFonts w:eastAsia="Georgia" w:cs="Georgia"/>
        </w:rPr>
        <w:t xml:space="preserve"> program and the Juvenile Justice program. However, there must be no overlapping programming or costs between the applications and budgets.  </w:t>
      </w:r>
    </w:p>
    <w:p w14:paraId="00E11E2E" w14:textId="77777777" w:rsidR="00700B89" w:rsidRDefault="00700B89" w:rsidP="00700B89">
      <w:pPr>
        <w:pStyle w:val="Heading3"/>
      </w:pPr>
      <w:r>
        <w:t>Eligible expenses</w:t>
      </w:r>
    </w:p>
    <w:p w14:paraId="76C3617E" w14:textId="77777777" w:rsidR="00670730" w:rsidRDefault="00700B89" w:rsidP="00700B89">
      <w:r>
        <w:t xml:space="preserve">Eligible expenses </w:t>
      </w:r>
      <w:proofErr w:type="gramStart"/>
      <w:r>
        <w:t>include:</w:t>
      </w:r>
      <w:proofErr w:type="gramEnd"/>
      <w:r>
        <w:t xml:space="preserve"> </w:t>
      </w:r>
      <w:r w:rsidR="00A05524">
        <w:t>Artistic fees for actors, directors, designers, choreographers, etc.; production costs of props, costumes, set, etc.; travel costs associated with touring productions or artist travel; a prorated portion of staff salaries; printing and marketing expenses; transportation; other direct costs associated with the production and educational programming.</w:t>
      </w:r>
      <w:r w:rsidR="00421384">
        <w:t xml:space="preserve"> </w:t>
      </w:r>
    </w:p>
    <w:p w14:paraId="574F87B4" w14:textId="720CF943" w:rsidR="00700B89" w:rsidRDefault="00421384" w:rsidP="00700B89">
      <w:r>
        <w:t xml:space="preserve">Do not include </w:t>
      </w:r>
      <w:hyperlink r:id="rId15" w:history="1">
        <w:r w:rsidRPr="006E042A">
          <w:rPr>
            <w:rStyle w:val="Hyperlink"/>
          </w:rPr>
          <w:t>unallowable expenses</w:t>
        </w:r>
      </w:hyperlink>
      <w:r>
        <w:t>.</w:t>
      </w:r>
    </w:p>
    <w:p w14:paraId="46242CAA" w14:textId="77777777" w:rsidR="00165297" w:rsidRDefault="00165297" w:rsidP="00165297">
      <w:pPr>
        <w:pStyle w:val="Heading3"/>
      </w:pPr>
      <w:r>
        <w:t>Matching requirement</w:t>
      </w:r>
    </w:p>
    <w:p w14:paraId="74D24C39" w14:textId="77777777" w:rsidR="00165297" w:rsidRDefault="00165297" w:rsidP="00165297">
      <w:r>
        <w:t xml:space="preserve">Applicants will be required to demonstrate matching funds on a 1:1 basis for their requested grant amount. (For example, if an applicant requests a $15,000 Shakespeare grant, the total project budget must be at least $30,000.) </w:t>
      </w:r>
    </w:p>
    <w:p w14:paraId="559C8D5A" w14:textId="0CDBB89F" w:rsidR="00165297" w:rsidRPr="00165297" w:rsidRDefault="00165297" w:rsidP="00165297">
      <w:r>
        <w:t>Federal funds cannot be used as match.</w:t>
      </w:r>
      <w:r>
        <w:br/>
      </w:r>
    </w:p>
    <w:p w14:paraId="06DC8457" w14:textId="77777777" w:rsidR="008E60EB" w:rsidRPr="008E60EB" w:rsidRDefault="008E60EB" w:rsidP="008E60EB">
      <w:pPr>
        <w:pStyle w:val="Heading2alt"/>
      </w:pPr>
      <w:r w:rsidRPr="008E60EB">
        <w:lastRenderedPageBreak/>
        <w:t xml:space="preserve">Required intent to apply </w:t>
      </w:r>
      <w:proofErr w:type="gramStart"/>
      <w:r w:rsidRPr="008E60EB">
        <w:t>information</w:t>
      </w:r>
      <w:proofErr w:type="gramEnd"/>
    </w:p>
    <w:p w14:paraId="54CDABC3" w14:textId="77777777" w:rsidR="008E60EB" w:rsidRPr="008E60EB" w:rsidRDefault="008E60EB" w:rsidP="008E60EB">
      <w:pPr>
        <w:pStyle w:val="ListParagraph"/>
        <w:numPr>
          <w:ilvl w:val="0"/>
          <w:numId w:val="20"/>
        </w:numPr>
      </w:pPr>
      <w:r w:rsidRPr="008E60EB">
        <w:t>Applicant organization details (EIN, UEI number from SAM.gov, annual operating budget, mission statement, organization location information).</w:t>
      </w:r>
    </w:p>
    <w:p w14:paraId="71432D7B" w14:textId="77777777" w:rsidR="008E60EB" w:rsidRPr="008E60EB" w:rsidRDefault="008E60EB" w:rsidP="008E60EB">
      <w:pPr>
        <w:pStyle w:val="ListParagraph"/>
        <w:numPr>
          <w:ilvl w:val="0"/>
          <w:numId w:val="20"/>
        </w:numPr>
      </w:pPr>
      <w:r w:rsidRPr="008E60EB">
        <w:t>Project start and end dates</w:t>
      </w:r>
    </w:p>
    <w:p w14:paraId="3934B920" w14:textId="0B219869" w:rsidR="008E60EB" w:rsidRPr="00FE1979" w:rsidRDefault="00916592" w:rsidP="008E60EB">
      <w:pPr>
        <w:pStyle w:val="ListParagraph"/>
        <w:numPr>
          <w:ilvl w:val="0"/>
          <w:numId w:val="20"/>
        </w:numPr>
      </w:pPr>
      <w:r>
        <w:t>Primary contact information</w:t>
      </w:r>
    </w:p>
    <w:p w14:paraId="36AEDAC4" w14:textId="16598B07" w:rsidR="008E60EB" w:rsidRPr="00916592" w:rsidRDefault="00916592" w:rsidP="008E60EB">
      <w:pPr>
        <w:pStyle w:val="ListParagraph"/>
        <w:numPr>
          <w:ilvl w:val="0"/>
          <w:numId w:val="20"/>
        </w:numPr>
        <w:rPr>
          <w:rFonts w:eastAsia="Calibri"/>
          <w:bCs/>
        </w:rPr>
      </w:pPr>
      <w:r w:rsidRPr="00916592">
        <w:rPr>
          <w:rFonts w:eastAsia="Calibri"/>
          <w:bCs/>
        </w:rPr>
        <w:t>Short summary of project activities</w:t>
      </w:r>
    </w:p>
    <w:p w14:paraId="59876850" w14:textId="6B68F611" w:rsidR="00916592" w:rsidRPr="00916592" w:rsidRDefault="00916592" w:rsidP="008E60EB">
      <w:pPr>
        <w:pStyle w:val="ListParagraph"/>
        <w:numPr>
          <w:ilvl w:val="0"/>
          <w:numId w:val="20"/>
        </w:numPr>
        <w:rPr>
          <w:rFonts w:eastAsia="Calibri"/>
          <w:bCs/>
        </w:rPr>
      </w:pPr>
      <w:r w:rsidRPr="00916592">
        <w:rPr>
          <w:rFonts w:eastAsia="Calibri"/>
          <w:bCs/>
        </w:rPr>
        <w:t>The name of the production/play</w:t>
      </w:r>
    </w:p>
    <w:p w14:paraId="338AB8D0" w14:textId="29D164EA" w:rsidR="008E60EB" w:rsidRPr="00660284" w:rsidRDefault="008E60EB" w:rsidP="008E60EB">
      <w:pPr>
        <w:pStyle w:val="ListParagraph"/>
        <w:numPr>
          <w:ilvl w:val="0"/>
          <w:numId w:val="20"/>
        </w:numPr>
      </w:pPr>
      <w:r>
        <w:t>Grant request amount</w:t>
      </w:r>
      <w:r>
        <w:br/>
      </w:r>
    </w:p>
    <w:p w14:paraId="6BE0C832" w14:textId="77777777" w:rsidR="008E60EB" w:rsidRPr="00A10314" w:rsidRDefault="008E60EB" w:rsidP="008E60EB">
      <w:pPr>
        <w:pStyle w:val="Heading2alt"/>
      </w:pPr>
      <w:r w:rsidRPr="00A10314">
        <w:t xml:space="preserve">Required application </w:t>
      </w:r>
      <w:proofErr w:type="gramStart"/>
      <w:r w:rsidRPr="00A10314">
        <w:t>information</w:t>
      </w:r>
      <w:proofErr w:type="gramEnd"/>
    </w:p>
    <w:p w14:paraId="296D0EB1" w14:textId="60640BA7" w:rsidR="008E60EB" w:rsidRPr="00A10314" w:rsidRDefault="008E60EB" w:rsidP="008E60EB">
      <w:pPr>
        <w:pStyle w:val="ListParagraph"/>
        <w:numPr>
          <w:ilvl w:val="0"/>
          <w:numId w:val="20"/>
        </w:numPr>
      </w:pPr>
      <w:r w:rsidRPr="00A10314">
        <w:t xml:space="preserve">Summary </w:t>
      </w:r>
      <w:r w:rsidR="00A6100B" w:rsidRPr="00A10314">
        <w:t xml:space="preserve">and statistics for </w:t>
      </w:r>
      <w:r w:rsidRPr="00A10314">
        <w:t>proposed activities</w:t>
      </w:r>
    </w:p>
    <w:p w14:paraId="57D95EC3" w14:textId="77777777" w:rsidR="008E60EB" w:rsidRPr="00A10314" w:rsidRDefault="008E60EB" w:rsidP="008E60EB">
      <w:pPr>
        <w:pStyle w:val="ListParagraph"/>
        <w:numPr>
          <w:ilvl w:val="0"/>
          <w:numId w:val="20"/>
        </w:numPr>
      </w:pPr>
      <w:r w:rsidRPr="00A10314">
        <w:t xml:space="preserve">Anticipated number of partners, events and individuals </w:t>
      </w:r>
      <w:proofErr w:type="gramStart"/>
      <w:r w:rsidRPr="00A10314">
        <w:t>served</w:t>
      </w:r>
      <w:proofErr w:type="gramEnd"/>
    </w:p>
    <w:p w14:paraId="49153D19" w14:textId="77777777" w:rsidR="008E60EB" w:rsidRPr="00A10314" w:rsidRDefault="008E60EB" w:rsidP="008E60EB">
      <w:pPr>
        <w:pStyle w:val="ListParagraph"/>
        <w:numPr>
          <w:ilvl w:val="0"/>
          <w:numId w:val="20"/>
        </w:numPr>
      </w:pPr>
      <w:r w:rsidRPr="00A10314">
        <w:t>Accessibility accommodations</w:t>
      </w:r>
    </w:p>
    <w:p w14:paraId="4ED5D541" w14:textId="18AB817B" w:rsidR="008E60EB" w:rsidRPr="00A10314" w:rsidRDefault="001D07A9" w:rsidP="008E60EB">
      <w:pPr>
        <w:pStyle w:val="ListParagraph"/>
        <w:numPr>
          <w:ilvl w:val="0"/>
          <w:numId w:val="20"/>
        </w:numPr>
      </w:pPr>
      <w:r w:rsidRPr="00A10314">
        <w:t>Applicant organization, p</w:t>
      </w:r>
      <w:r w:rsidR="008E60EB" w:rsidRPr="00A10314">
        <w:t>rogramming, partnerships, community/audiences, leadership</w:t>
      </w:r>
      <w:r w:rsidRPr="00A10314">
        <w:t>, DEIA (diversity, equity, inclusion, accessibility)</w:t>
      </w:r>
      <w:r w:rsidR="008E60EB" w:rsidRPr="00A10314">
        <w:t xml:space="preserve"> </w:t>
      </w:r>
      <w:r w:rsidRPr="00A10314">
        <w:t>narratives</w:t>
      </w:r>
    </w:p>
    <w:p w14:paraId="7C62EB09" w14:textId="77777777" w:rsidR="008E60EB" w:rsidRPr="00A10314" w:rsidRDefault="008E60EB" w:rsidP="008E60EB">
      <w:pPr>
        <w:pStyle w:val="ListParagraph"/>
        <w:numPr>
          <w:ilvl w:val="0"/>
          <w:numId w:val="20"/>
        </w:numPr>
      </w:pPr>
      <w:r w:rsidRPr="00A10314">
        <w:t>Project Budget</w:t>
      </w:r>
      <w:r w:rsidRPr="00A10314">
        <w:br/>
      </w:r>
    </w:p>
    <w:p w14:paraId="79DFC2F5" w14:textId="77777777" w:rsidR="008E60EB" w:rsidRPr="00A10314" w:rsidRDefault="008E60EB" w:rsidP="008E60EB">
      <w:pPr>
        <w:pStyle w:val="Heading2"/>
      </w:pPr>
      <w:r w:rsidRPr="00A10314">
        <w:t>Selection Criteria</w:t>
      </w:r>
    </w:p>
    <w:p w14:paraId="1847399A" w14:textId="77777777" w:rsidR="008E60EB" w:rsidRPr="00A10314" w:rsidRDefault="008E60EB" w:rsidP="008E60EB">
      <w:pPr>
        <w:spacing w:after="0"/>
      </w:pPr>
      <w:r w:rsidRPr="00A10314">
        <w:t>Applications are reviewed by an independent advisory panel composed of a diverse group of arts and literature experts and other individuals with broad knowledge of community programs. Panel composition changes annually.</w:t>
      </w:r>
    </w:p>
    <w:p w14:paraId="7F798183" w14:textId="77777777" w:rsidR="008E60EB" w:rsidRPr="00A10314" w:rsidRDefault="008E60EB" w:rsidP="008E60EB">
      <w:pPr>
        <w:spacing w:after="0"/>
      </w:pPr>
    </w:p>
    <w:p w14:paraId="736A841C" w14:textId="77777777" w:rsidR="008E60EB" w:rsidRPr="00A10314" w:rsidRDefault="008E60EB" w:rsidP="008E60EB">
      <w:pPr>
        <w:spacing w:after="0"/>
      </w:pPr>
      <w:r w:rsidRPr="00A10314">
        <w:t>Grantees are selected based on:</w:t>
      </w:r>
    </w:p>
    <w:p w14:paraId="67106521" w14:textId="77777777" w:rsidR="00C732B2" w:rsidRPr="00C937A5" w:rsidRDefault="008E60EB" w:rsidP="00C732B2">
      <w:pPr>
        <w:pStyle w:val="ListParagraph"/>
        <w:numPr>
          <w:ilvl w:val="0"/>
          <w:numId w:val="18"/>
        </w:numPr>
        <w:spacing w:after="0" w:line="360" w:lineRule="auto"/>
        <w:rPr>
          <w:rFonts w:eastAsia="Georgia" w:cs="Georgia"/>
          <w:color w:val="808080" w:themeColor="background1" w:themeShade="80"/>
        </w:rPr>
      </w:pPr>
      <w:r w:rsidRPr="00F00DC4">
        <w:rPr>
          <w:u w:val="single"/>
        </w:rPr>
        <w:t>Artistic excellence and merit of programming</w:t>
      </w:r>
      <w:r w:rsidRPr="00C937A5">
        <w:t xml:space="preserve">. </w:t>
      </w:r>
      <w:r w:rsidR="00C732B2" w:rsidRPr="00C937A5">
        <w:t xml:space="preserve">The panel will review the evidence of sound artistic decisions, the professional team of artists and staff, the rationale for choosing the play, the production’s viewpoint and themes, and the </w:t>
      </w:r>
      <w:r w:rsidR="00C732B2" w:rsidRPr="00C937A5">
        <w:rPr>
          <w:color w:val="181825" w:themeColor="text2"/>
        </w:rPr>
        <w:t xml:space="preserve">relevance of the play to today’s youth. </w:t>
      </w:r>
    </w:p>
    <w:p w14:paraId="53608356" w14:textId="77777777" w:rsidR="00564E4C" w:rsidRPr="00C937A5" w:rsidRDefault="008E60EB" w:rsidP="00564E4C">
      <w:pPr>
        <w:pStyle w:val="ListParagraph"/>
        <w:numPr>
          <w:ilvl w:val="0"/>
          <w:numId w:val="18"/>
        </w:numPr>
        <w:spacing w:after="0" w:line="360" w:lineRule="auto"/>
      </w:pPr>
      <w:r w:rsidRPr="00F00DC4">
        <w:rPr>
          <w:u w:val="single"/>
        </w:rPr>
        <w:t>Depth of audience engagement</w:t>
      </w:r>
      <w:r w:rsidRPr="00C937A5">
        <w:t xml:space="preserve">. </w:t>
      </w:r>
      <w:r w:rsidR="00564E4C" w:rsidRPr="00C937A5">
        <w:rPr>
          <w:rFonts w:eastAsia="Georgia" w:cs="Georgia"/>
          <w:color w:val="181825" w:themeColor="text2"/>
        </w:rPr>
        <w:t>The panel will consider the content of workshops, talkbacks, and other activities; the credentials and experience of teaching artists or actors; the depth of engagement with students; and the consideration of the needs of students of different backgrounds, abilities, ages, and learning styles.</w:t>
      </w:r>
    </w:p>
    <w:p w14:paraId="6D9050CD" w14:textId="77777777" w:rsidR="0023579D" w:rsidRPr="00C937A5" w:rsidRDefault="008E60EB" w:rsidP="0023579D">
      <w:pPr>
        <w:pStyle w:val="ListParagraph"/>
        <w:numPr>
          <w:ilvl w:val="0"/>
          <w:numId w:val="18"/>
        </w:numPr>
        <w:spacing w:after="0" w:line="360" w:lineRule="auto"/>
      </w:pPr>
      <w:r w:rsidRPr="00F00DC4">
        <w:rPr>
          <w:u w:val="single"/>
        </w:rPr>
        <w:lastRenderedPageBreak/>
        <w:t>Diversity, equity, inclusion, and accessibility</w:t>
      </w:r>
      <w:r w:rsidRPr="00C937A5">
        <w:t xml:space="preserve">. </w:t>
      </w:r>
      <w:r w:rsidR="0023579D" w:rsidRPr="00C937A5">
        <w:rPr>
          <w:color w:val="181825" w:themeColor="text2"/>
        </w:rPr>
        <w:t>The panel will evaluate the applicant’s commitment to diversity, equity, inclusion, and accessibility as they relate to the proposed project. This could include commitment to racial, gender, and age diversity in the artistic team and cast; equitable pay for artists; relevant content and themes of the production and educational activities; accessibility accommodations; reaching schools from underserved communities; etc.</w:t>
      </w:r>
    </w:p>
    <w:p w14:paraId="261BAFF9" w14:textId="1F83C715" w:rsidR="00C937A5" w:rsidRPr="00C937A5" w:rsidRDefault="008E60EB" w:rsidP="00C937A5">
      <w:pPr>
        <w:pStyle w:val="ListParagraph"/>
        <w:numPr>
          <w:ilvl w:val="0"/>
          <w:numId w:val="18"/>
        </w:numPr>
        <w:spacing w:after="0" w:line="360" w:lineRule="auto"/>
      </w:pPr>
      <w:r w:rsidRPr="00F00DC4">
        <w:rPr>
          <w:u w:val="single"/>
        </w:rPr>
        <w:t>The ability and capacity to carry out the project</w:t>
      </w:r>
      <w:r w:rsidRPr="00C937A5">
        <w:t xml:space="preserve">. </w:t>
      </w:r>
      <w:r w:rsidR="00C937A5" w:rsidRPr="00C937A5">
        <w:rPr>
          <w:color w:val="181825" w:themeColor="text2"/>
        </w:rPr>
        <w:t>The panel will consider the applicant’s ability to manage and implement a federal award. This could include the feasibility to reach five or more schools with educational programming; organizational capacity; proven fiscal responsibility; etc.</w:t>
      </w:r>
    </w:p>
    <w:p w14:paraId="354A078F" w14:textId="7571B438" w:rsidR="007D66A2" w:rsidRDefault="007D66A2" w:rsidP="00C937A5">
      <w:pPr>
        <w:pStyle w:val="Heading2"/>
      </w:pPr>
      <w:r>
        <w:t>Timeline</w:t>
      </w:r>
    </w:p>
    <w:tbl>
      <w:tblPr>
        <w:tblStyle w:val="TableGrid"/>
        <w:tblW w:w="8460" w:type="dxa"/>
        <w:tblInd w:w="360" w:type="dxa"/>
        <w:tblLayout w:type="fixed"/>
        <w:tblLook w:val="04A0" w:firstRow="1" w:lastRow="0" w:firstColumn="1" w:lastColumn="0" w:noHBand="0" w:noVBand="1"/>
      </w:tblPr>
      <w:tblGrid>
        <w:gridCol w:w="1650"/>
        <w:gridCol w:w="6810"/>
      </w:tblGrid>
      <w:tr w:rsidR="007D66A2" w14:paraId="6EA0D26E" w14:textId="77777777" w:rsidTr="00D915ED">
        <w:trPr>
          <w:trHeight w:val="300"/>
        </w:trPr>
        <w:tc>
          <w:tcPr>
            <w:tcW w:w="1650" w:type="dxa"/>
            <w:tcBorders>
              <w:top w:val="nil"/>
              <w:left w:val="nil"/>
              <w:bottom w:val="single" w:sz="8" w:space="0" w:color="94A4FF" w:themeColor="accent4"/>
              <w:right w:val="nil"/>
            </w:tcBorders>
          </w:tcPr>
          <w:p w14:paraId="7410D927" w14:textId="77777777" w:rsidR="007D66A2" w:rsidRDefault="007D66A2" w:rsidP="00D915ED">
            <w:pPr>
              <w:pStyle w:val="Heading3"/>
              <w:rPr>
                <w:rFonts w:eastAsia="Epilogue SemiBold" w:cs="Epilogue SemiBold"/>
              </w:rPr>
            </w:pPr>
            <w:r w:rsidRPr="3C421543">
              <w:rPr>
                <w:rFonts w:eastAsia="Epilogue SemiBold" w:cs="Epilogue SemiBold"/>
              </w:rPr>
              <w:t xml:space="preserve">Apply  </w:t>
            </w:r>
          </w:p>
          <w:p w14:paraId="4567B610" w14:textId="77777777" w:rsidR="007D66A2" w:rsidRDefault="007D66A2" w:rsidP="00D915ED">
            <w:pPr>
              <w:pStyle w:val="Heading3"/>
              <w:rPr>
                <w:rFonts w:eastAsia="Epilogue SemiBold" w:cs="Epilogue SemiBold"/>
              </w:rPr>
            </w:pPr>
            <w:r w:rsidRPr="3C421543">
              <w:rPr>
                <w:rFonts w:eastAsia="Epilogue SemiBold" w:cs="Epilogue SemiBold"/>
              </w:rPr>
              <w:t xml:space="preserve"> </w:t>
            </w:r>
          </w:p>
        </w:tc>
        <w:tc>
          <w:tcPr>
            <w:tcW w:w="6810" w:type="dxa"/>
            <w:tcBorders>
              <w:top w:val="nil"/>
              <w:left w:val="nil"/>
              <w:bottom w:val="single" w:sz="8" w:space="0" w:color="94A4FF" w:themeColor="accent4"/>
              <w:right w:val="nil"/>
            </w:tcBorders>
          </w:tcPr>
          <w:p w14:paraId="36C05842" w14:textId="77777777" w:rsidR="007D66A2" w:rsidRDefault="007D66A2" w:rsidP="00D915ED">
            <w:r>
              <w:t>There is a two-step application process.</w:t>
            </w:r>
          </w:p>
          <w:p w14:paraId="0C06AAA8" w14:textId="13BD35BD" w:rsidR="007D66A2" w:rsidRDefault="007D66A2" w:rsidP="007D66A2">
            <w:pPr>
              <w:pStyle w:val="ListParagraph"/>
              <w:numPr>
                <w:ilvl w:val="0"/>
                <w:numId w:val="13"/>
              </w:numPr>
            </w:pPr>
            <w:r>
              <w:t>Submit an intent to apply by January 25.</w:t>
            </w:r>
          </w:p>
          <w:p w14:paraId="76CD97DD" w14:textId="5EDA0306" w:rsidR="007D66A2" w:rsidRDefault="007D66A2" w:rsidP="007D66A2">
            <w:pPr>
              <w:pStyle w:val="ListParagraph"/>
              <w:numPr>
                <w:ilvl w:val="0"/>
                <w:numId w:val="12"/>
              </w:numPr>
            </w:pPr>
            <w:r>
              <w:t>Submit a complete application by February 8.</w:t>
            </w:r>
          </w:p>
          <w:p w14:paraId="4847F943" w14:textId="77777777" w:rsidR="007D66A2" w:rsidRDefault="007D66A2" w:rsidP="00D915ED"/>
          <w:p w14:paraId="0C326279" w14:textId="77777777" w:rsidR="007D66A2" w:rsidRPr="00FF1E22" w:rsidRDefault="007D66A2" w:rsidP="00D915ED">
            <w:r>
              <w:t xml:space="preserve">Arts Midwest staff will review for eligibility and completeness. </w:t>
            </w:r>
            <w:r w:rsidRPr="3F3D1BEC">
              <w:rPr>
                <w:rStyle w:val="Emphasis"/>
              </w:rPr>
              <w:t>We will follow up with any questions or corrections before applications proceed to the review stage.</w:t>
            </w:r>
          </w:p>
          <w:p w14:paraId="03F87B5A" w14:textId="77777777" w:rsidR="007D66A2" w:rsidRPr="001A22D3" w:rsidRDefault="007D66A2" w:rsidP="00D915ED">
            <w:pPr>
              <w:spacing w:line="312" w:lineRule="auto"/>
            </w:pPr>
          </w:p>
        </w:tc>
      </w:tr>
      <w:tr w:rsidR="007D66A2" w14:paraId="38AF7EB4" w14:textId="77777777" w:rsidTr="00D915ED">
        <w:trPr>
          <w:trHeight w:val="300"/>
        </w:trPr>
        <w:tc>
          <w:tcPr>
            <w:tcW w:w="1650" w:type="dxa"/>
            <w:tcBorders>
              <w:top w:val="single" w:sz="8" w:space="0" w:color="94A4FF" w:themeColor="accent4"/>
              <w:left w:val="nil"/>
              <w:bottom w:val="single" w:sz="8" w:space="0" w:color="94A4FF" w:themeColor="accent4"/>
              <w:right w:val="nil"/>
            </w:tcBorders>
          </w:tcPr>
          <w:p w14:paraId="2AB5C2A5" w14:textId="77777777" w:rsidR="007D66A2" w:rsidRDefault="007D66A2" w:rsidP="00D915ED">
            <w:pPr>
              <w:pStyle w:val="Heading3"/>
              <w:rPr>
                <w:rFonts w:eastAsia="Epilogue SemiBold" w:cs="Epilogue SemiBold"/>
              </w:rPr>
            </w:pPr>
            <w:r w:rsidRPr="3C421543">
              <w:rPr>
                <w:rFonts w:eastAsia="Epilogue SemiBold" w:cs="Epilogue SemiBold"/>
              </w:rPr>
              <w:t xml:space="preserve">Review </w:t>
            </w:r>
          </w:p>
          <w:p w14:paraId="19F8F103" w14:textId="77777777" w:rsidR="007D66A2" w:rsidRDefault="007D66A2" w:rsidP="00D915ED">
            <w:pPr>
              <w:pStyle w:val="Heading3"/>
              <w:rPr>
                <w:rFonts w:eastAsia="Epilogue SemiBold" w:cs="Epilogue SemiBold"/>
              </w:rPr>
            </w:pPr>
            <w:r w:rsidRPr="3C421543">
              <w:rPr>
                <w:rFonts w:eastAsia="Epilogue SemiBold" w:cs="Epilogue SemiBold"/>
              </w:rPr>
              <w:t xml:space="preserve"> </w:t>
            </w:r>
          </w:p>
        </w:tc>
        <w:tc>
          <w:tcPr>
            <w:tcW w:w="6810" w:type="dxa"/>
            <w:tcBorders>
              <w:top w:val="single" w:sz="8" w:space="0" w:color="94A4FF" w:themeColor="accent4"/>
              <w:left w:val="nil"/>
              <w:bottom w:val="single" w:sz="8" w:space="0" w:color="94A4FF" w:themeColor="accent4"/>
              <w:right w:val="nil"/>
            </w:tcBorders>
          </w:tcPr>
          <w:p w14:paraId="7E42B4FC" w14:textId="77777777" w:rsidR="007D66A2" w:rsidRDefault="007D66A2" w:rsidP="00D915ED"/>
          <w:p w14:paraId="602630E4" w14:textId="77777777" w:rsidR="007D66A2" w:rsidRDefault="007D66A2" w:rsidP="00D915ED">
            <w:r>
              <w:t>All complete and eligible applications will be reviewed by a panel. The panel will consider the following criteria:</w:t>
            </w:r>
          </w:p>
          <w:p w14:paraId="342E72B8" w14:textId="77777777" w:rsidR="007D66A2" w:rsidRDefault="007D66A2" w:rsidP="00D915ED"/>
          <w:p w14:paraId="74F3D927" w14:textId="0E2C1D1D" w:rsidR="007D66A2" w:rsidRPr="00E643C5" w:rsidRDefault="00E643C5" w:rsidP="007D66A2">
            <w:pPr>
              <w:pStyle w:val="ListParagraph"/>
              <w:numPr>
                <w:ilvl w:val="0"/>
                <w:numId w:val="12"/>
              </w:numPr>
              <w:spacing w:line="312" w:lineRule="auto"/>
            </w:pPr>
            <w:r w:rsidRPr="00E643C5">
              <w:t>Artistic excellence and merit of programming</w:t>
            </w:r>
          </w:p>
          <w:p w14:paraId="795C272B" w14:textId="77777777" w:rsidR="000F7455" w:rsidRPr="00E643C5" w:rsidRDefault="000F7455" w:rsidP="000F7455">
            <w:pPr>
              <w:pStyle w:val="ListParagraph"/>
              <w:numPr>
                <w:ilvl w:val="0"/>
                <w:numId w:val="12"/>
              </w:numPr>
            </w:pPr>
            <w:r>
              <w:t xml:space="preserve">Depth of project to engage </w:t>
            </w:r>
            <w:proofErr w:type="gramStart"/>
            <w:r>
              <w:t>audiences</w:t>
            </w:r>
            <w:proofErr w:type="gramEnd"/>
          </w:p>
          <w:p w14:paraId="02CF9E80" w14:textId="77777777" w:rsidR="002C42E7" w:rsidRPr="00E643C5" w:rsidRDefault="002C42E7" w:rsidP="002C42E7">
            <w:pPr>
              <w:pStyle w:val="ListParagraph"/>
              <w:numPr>
                <w:ilvl w:val="0"/>
                <w:numId w:val="12"/>
              </w:numPr>
            </w:pPr>
            <w:r>
              <w:t xml:space="preserve">Ability and capacity to carry out the </w:t>
            </w:r>
            <w:proofErr w:type="gramStart"/>
            <w:r>
              <w:t>project</w:t>
            </w:r>
            <w:proofErr w:type="gramEnd"/>
          </w:p>
          <w:p w14:paraId="31BF5B95" w14:textId="77777777" w:rsidR="007D66A2" w:rsidRPr="00E643C5" w:rsidRDefault="007D66A2" w:rsidP="007D66A2">
            <w:pPr>
              <w:pStyle w:val="ListParagraph"/>
              <w:numPr>
                <w:ilvl w:val="0"/>
                <w:numId w:val="12"/>
              </w:numPr>
            </w:pPr>
            <w:r w:rsidRPr="00E643C5">
              <w:t xml:space="preserve">Project commitments to DEIA (diversity, equity, inclusion, and accessibility) in partnership with communities. </w:t>
            </w:r>
            <w:r w:rsidRPr="00E643C5">
              <w:rPr>
                <w:rStyle w:val="Emphasis"/>
              </w:rPr>
              <w:t>Specifically for this last criterion, the panel will review the applicant’s plan for including audiences with limited access to the arts and the accessibility measures undertaken to ensure access for members of the public.</w:t>
            </w:r>
          </w:p>
          <w:p w14:paraId="0BB4F88A" w14:textId="77777777" w:rsidR="007D66A2" w:rsidRDefault="007D66A2" w:rsidP="000F7455">
            <w:pPr>
              <w:pStyle w:val="Subtitle"/>
            </w:pPr>
          </w:p>
        </w:tc>
      </w:tr>
      <w:tr w:rsidR="007D66A2" w14:paraId="344FE024" w14:textId="77777777" w:rsidTr="00D915ED">
        <w:trPr>
          <w:trHeight w:val="750"/>
        </w:trPr>
        <w:tc>
          <w:tcPr>
            <w:tcW w:w="1650" w:type="dxa"/>
            <w:tcBorders>
              <w:top w:val="single" w:sz="8" w:space="0" w:color="94A4FF" w:themeColor="accent4"/>
              <w:left w:val="nil"/>
              <w:bottom w:val="nil"/>
              <w:right w:val="nil"/>
            </w:tcBorders>
          </w:tcPr>
          <w:p w14:paraId="3F9C9E8D" w14:textId="77777777" w:rsidR="007D66A2" w:rsidRDefault="007D66A2" w:rsidP="00D915ED">
            <w:pPr>
              <w:pStyle w:val="Heading3"/>
              <w:rPr>
                <w:rFonts w:eastAsia="Epilogue SemiBold" w:cs="Epilogue SemiBold"/>
              </w:rPr>
            </w:pPr>
            <w:r w:rsidRPr="3C421543">
              <w:rPr>
                <w:rFonts w:eastAsia="Epilogue SemiBold" w:cs="Epilogue SemiBold"/>
              </w:rPr>
              <w:t xml:space="preserve">Award  </w:t>
            </w:r>
          </w:p>
        </w:tc>
        <w:tc>
          <w:tcPr>
            <w:tcW w:w="6810" w:type="dxa"/>
            <w:tcBorders>
              <w:top w:val="single" w:sz="8" w:space="0" w:color="94A4FF" w:themeColor="accent4"/>
              <w:left w:val="nil"/>
              <w:bottom w:val="nil"/>
              <w:right w:val="nil"/>
            </w:tcBorders>
          </w:tcPr>
          <w:p w14:paraId="767B54EC" w14:textId="77777777" w:rsidR="007D66A2" w:rsidRDefault="007D66A2" w:rsidP="00D915ED"/>
          <w:p w14:paraId="7475C96F" w14:textId="63177E44" w:rsidR="007D66A2" w:rsidRPr="001A22D3" w:rsidRDefault="007D66A2" w:rsidP="00D915ED">
            <w:r w:rsidRPr="00C57177">
              <w:lastRenderedPageBreak/>
              <w:t xml:space="preserve">All applicants will receive an email notification of award decisions in </w:t>
            </w:r>
            <w:r w:rsidR="00C57177" w:rsidRPr="00C57177">
              <w:t>May</w:t>
            </w:r>
            <w:r w:rsidRPr="00C57177">
              <w:t xml:space="preserve"> 202</w:t>
            </w:r>
            <w:r w:rsidR="00C57177" w:rsidRPr="00C57177">
              <w:t>4</w:t>
            </w:r>
            <w:r w:rsidRPr="00C57177">
              <w:t xml:space="preserve"> following approval from Arts Midwest’s Board of Directors.</w:t>
            </w:r>
          </w:p>
          <w:p w14:paraId="65BD9026" w14:textId="77777777" w:rsidR="007D66A2" w:rsidRPr="001A22D3" w:rsidRDefault="007D66A2" w:rsidP="00D915ED">
            <w:pPr>
              <w:spacing w:line="312" w:lineRule="auto"/>
            </w:pPr>
          </w:p>
        </w:tc>
      </w:tr>
      <w:tr w:rsidR="007D66A2" w14:paraId="1EF7E4D5" w14:textId="77777777" w:rsidTr="00D915ED">
        <w:trPr>
          <w:trHeight w:val="2085"/>
        </w:trPr>
        <w:tc>
          <w:tcPr>
            <w:tcW w:w="1650" w:type="dxa"/>
            <w:tcBorders>
              <w:top w:val="single" w:sz="8" w:space="0" w:color="94A4FF" w:themeColor="accent4"/>
              <w:left w:val="nil"/>
              <w:bottom w:val="nil"/>
              <w:right w:val="nil"/>
            </w:tcBorders>
          </w:tcPr>
          <w:p w14:paraId="775692DA" w14:textId="77777777" w:rsidR="007D66A2" w:rsidRDefault="007D66A2" w:rsidP="00D915ED">
            <w:pPr>
              <w:pStyle w:val="Heading3"/>
              <w:rPr>
                <w:rFonts w:eastAsia="Epilogue SemiBold" w:cs="Epilogue SemiBold"/>
              </w:rPr>
            </w:pPr>
            <w:r w:rsidRPr="3C421543">
              <w:rPr>
                <w:rFonts w:eastAsia="Epilogue SemiBold" w:cs="Epilogue SemiBold"/>
              </w:rPr>
              <w:lastRenderedPageBreak/>
              <w:t>Engage</w:t>
            </w:r>
          </w:p>
        </w:tc>
        <w:tc>
          <w:tcPr>
            <w:tcW w:w="6810" w:type="dxa"/>
            <w:tcBorders>
              <w:top w:val="single" w:sz="8" w:space="0" w:color="94A4FF" w:themeColor="accent4"/>
              <w:left w:val="nil"/>
              <w:bottom w:val="nil"/>
              <w:right w:val="nil"/>
            </w:tcBorders>
          </w:tcPr>
          <w:p w14:paraId="4F4CA3DD" w14:textId="77777777" w:rsidR="007D66A2" w:rsidRDefault="007D66A2" w:rsidP="00D915ED">
            <w:pPr>
              <w:spacing w:line="312" w:lineRule="auto"/>
            </w:pPr>
          </w:p>
          <w:p w14:paraId="4A373A10" w14:textId="68A108D9" w:rsidR="007D66A2" w:rsidRDefault="007D66A2" w:rsidP="00D915ED">
            <w:r>
              <w:t>Funded project activities occur between August 1, 2024, and July 31, 2025. Final reports are due about a month after conclusion of planned activities.</w:t>
            </w:r>
          </w:p>
          <w:p w14:paraId="43BB5D6A" w14:textId="77777777" w:rsidR="007D66A2" w:rsidRDefault="007D66A2" w:rsidP="00D915ED">
            <w:pPr>
              <w:spacing w:line="312" w:lineRule="auto"/>
            </w:pPr>
          </w:p>
          <w:p w14:paraId="05FB910A" w14:textId="77777777" w:rsidR="007D66A2" w:rsidRDefault="007D66A2" w:rsidP="00D915ED">
            <w:pPr>
              <w:pStyle w:val="Subtitle"/>
            </w:pPr>
            <w:r w:rsidRPr="5E34B1B0">
              <w:rPr>
                <w:rStyle w:val="Emphasis"/>
              </w:rPr>
              <w:t xml:space="preserve">Any changes or updates to planned activities should be communicated to Arts Midwest staff as early as possible. </w:t>
            </w:r>
          </w:p>
        </w:tc>
      </w:tr>
    </w:tbl>
    <w:p w14:paraId="5FC0CAC8" w14:textId="77777777" w:rsidR="001E7683" w:rsidRDefault="001E7683" w:rsidP="001E7683">
      <w:pPr>
        <w:pStyle w:val="Heading2"/>
      </w:pPr>
      <w:r>
        <w:t>Reporting Requirements</w:t>
      </w:r>
    </w:p>
    <w:p w14:paraId="2F651E07" w14:textId="7BE8C87D" w:rsidR="00696897" w:rsidRPr="00696897" w:rsidRDefault="00696897" w:rsidP="00696897">
      <w:pPr>
        <w:rPr>
          <w:rFonts w:eastAsiaTheme="majorEastAsia" w:cstheme="majorBidi"/>
        </w:rPr>
      </w:pPr>
      <w:r w:rsidRPr="3C421543">
        <w:rPr>
          <w:rStyle w:val="Heading3Char"/>
          <w:rFonts w:ascii="Newsreader Medium" w:hAnsi="Newsreader Medium"/>
        </w:rPr>
        <w:t>A</w:t>
      </w:r>
      <w:r w:rsidR="00AE0A2D">
        <w:rPr>
          <w:rStyle w:val="Heading3Char"/>
          <w:rFonts w:ascii="Newsreader Medium" w:hAnsi="Newsreader Medium"/>
        </w:rPr>
        <w:t xml:space="preserve"> preliminary event listing will be due 30 days before the project starts and a</w:t>
      </w:r>
      <w:r w:rsidRPr="3C421543">
        <w:rPr>
          <w:rStyle w:val="Heading3Char"/>
          <w:rFonts w:ascii="Newsreader Medium" w:hAnsi="Newsreader Medium"/>
        </w:rPr>
        <w:t xml:space="preserve"> final report will be due 30 days after the project is completed. </w:t>
      </w:r>
      <w:r w:rsidR="00A33CD5">
        <w:rPr>
          <w:rStyle w:val="Heading3Char"/>
          <w:rFonts w:ascii="Newsreader Medium" w:hAnsi="Newsreader Medium"/>
        </w:rPr>
        <w:t xml:space="preserve">The final report consists of a final listing of events, </w:t>
      </w:r>
      <w:r w:rsidR="00765297">
        <w:rPr>
          <w:rStyle w:val="Heading3Char"/>
          <w:rFonts w:ascii="Newsreader Medium" w:hAnsi="Newsreader Medium"/>
        </w:rPr>
        <w:t xml:space="preserve">statistics on audiences and artists, </w:t>
      </w:r>
      <w:r w:rsidR="00A725CF">
        <w:rPr>
          <w:rStyle w:val="Heading3Char"/>
          <w:rFonts w:ascii="Newsreader Medium" w:hAnsi="Newsreader Medium"/>
        </w:rPr>
        <w:t>narratives, and a final budget.</w:t>
      </w:r>
    </w:p>
    <w:p w14:paraId="354DFD3F" w14:textId="77777777" w:rsidR="00771B9E" w:rsidRDefault="00771B9E" w:rsidP="00771B9E">
      <w:pPr>
        <w:pStyle w:val="Heading2"/>
      </w:pPr>
      <w:r>
        <w:t>Accessibility</w:t>
      </w:r>
    </w:p>
    <w:p w14:paraId="0B02325C" w14:textId="77777777" w:rsidR="00FF6505" w:rsidRPr="00032252" w:rsidRDefault="00FF6505" w:rsidP="00FF6505">
      <w:r>
        <w:t>Arts Midwest works to ensure that grant guidelines, presentations, and any other written materials are created with accessibility and disability experiences in mind.</w:t>
      </w:r>
    </w:p>
    <w:p w14:paraId="6E52A04D" w14:textId="77777777" w:rsidR="00FF6505" w:rsidRPr="00EB3919" w:rsidRDefault="00FF6505" w:rsidP="00FF6505">
      <w:pPr>
        <w:rPr>
          <w:rFonts w:eastAsia="Newsreader" w:cs="Newsreader"/>
        </w:rPr>
      </w:pPr>
      <w:r w:rsidRPr="00EB3919">
        <w:rPr>
          <w:rFonts w:eastAsia="Newsreader" w:cs="Newsreader"/>
        </w:rPr>
        <w:t xml:space="preserve">For all grant applications, we use an online platform called </w:t>
      </w:r>
      <w:hyperlink r:id="rId16" w:history="1">
        <w:r w:rsidRPr="00EB3919">
          <w:rPr>
            <w:rStyle w:val="Hyperlink"/>
            <w:rFonts w:eastAsia="Newsreader" w:cs="Newsreader"/>
          </w:rPr>
          <w:t>SmartSimple,</w:t>
        </w:r>
      </w:hyperlink>
      <w:r w:rsidRPr="00EB3919">
        <w:rPr>
          <w:rFonts w:eastAsia="Newsreader" w:cs="Newsreader"/>
        </w:rPr>
        <w:t xml:space="preserve"> unless applicants request another route. SmartSimple has a dedicated Quality Assurance Team and a consultant who helps test usability on a quarterly basis. </w:t>
      </w:r>
    </w:p>
    <w:p w14:paraId="72DCA29B" w14:textId="543E9F26" w:rsidR="00FF6505" w:rsidRPr="00EB3919" w:rsidRDefault="00FF6505" w:rsidP="00FF6505">
      <w:pPr>
        <w:rPr>
          <w:rFonts w:eastAsia="Newsreader" w:cs="Newsreader"/>
        </w:rPr>
      </w:pPr>
      <w:r w:rsidRPr="00EB3919">
        <w:rPr>
          <w:rFonts w:eastAsia="Newsreader" w:cs="Newsreader"/>
        </w:rPr>
        <w:t>We’ve used other tools for grant applications and are happy to work with you</w:t>
      </w:r>
      <w:r w:rsidR="004768EC">
        <w:rPr>
          <w:rFonts w:eastAsia="Newsreader" w:cs="Newsreader"/>
        </w:rPr>
        <w:t xml:space="preserve"> such as providing </w:t>
      </w:r>
      <w:r w:rsidRPr="00EB3919">
        <w:rPr>
          <w:rFonts w:eastAsia="Newsreader" w:cs="Newsreader"/>
        </w:rPr>
        <w:t>an adapted form in Microsoft Word</w:t>
      </w:r>
      <w:r w:rsidR="004768EC">
        <w:rPr>
          <w:rFonts w:eastAsia="Newsreader" w:cs="Newsreader"/>
        </w:rPr>
        <w:t xml:space="preserve"> or</w:t>
      </w:r>
      <w:r w:rsidRPr="00EB3919">
        <w:rPr>
          <w:rFonts w:eastAsia="Newsreader" w:cs="Newsreader"/>
        </w:rPr>
        <w:t xml:space="preserve"> taking verbal responses</w:t>
      </w:r>
      <w:r w:rsidR="004768EC">
        <w:rPr>
          <w:rFonts w:eastAsia="Newsreader" w:cs="Newsreader"/>
        </w:rPr>
        <w:t>.</w:t>
      </w:r>
      <w:r w:rsidRPr="00EB3919">
        <w:rPr>
          <w:rFonts w:eastAsia="Newsreader" w:cs="Newsreader"/>
        </w:rPr>
        <w:t xml:space="preserve"> </w:t>
      </w:r>
    </w:p>
    <w:p w14:paraId="1556FF3C" w14:textId="77777777" w:rsidR="00FF6505" w:rsidRPr="00EB3919" w:rsidRDefault="00FF6505" w:rsidP="00FF6505">
      <w:pPr>
        <w:rPr>
          <w:rFonts w:eastAsia="Newsreader" w:cs="Newsreader"/>
        </w:rPr>
      </w:pPr>
      <w:r w:rsidRPr="00EB3919">
        <w:rPr>
          <w:rFonts w:eastAsia="Newsreader" w:cs="Newsreader"/>
        </w:rPr>
        <w:t xml:space="preserve">Please </w:t>
      </w:r>
      <w:hyperlink r:id="rId17" w:history="1">
        <w:r w:rsidRPr="00D612C5">
          <w:rPr>
            <w:rStyle w:val="Hyperlink"/>
            <w:rFonts w:eastAsia="Newsreader" w:cs="Newsreader"/>
          </w:rPr>
          <w:t>complete this form</w:t>
        </w:r>
      </w:hyperlink>
      <w:r>
        <w:rPr>
          <w:rFonts w:eastAsia="Newsreader" w:cs="Newsreader"/>
        </w:rPr>
        <w:t xml:space="preserve"> so </w:t>
      </w:r>
      <w:r w:rsidRPr="00EB3919">
        <w:rPr>
          <w:rFonts w:eastAsia="Newsreader" w:cs="Newsreader"/>
        </w:rPr>
        <w:t xml:space="preserve">we can help make a grant or program accessible to you. </w:t>
      </w:r>
    </w:p>
    <w:p w14:paraId="6DAC6DEE" w14:textId="2B957155" w:rsidR="00FF6505" w:rsidRPr="00FF6505" w:rsidRDefault="00FF6505" w:rsidP="00FF6505">
      <w:r w:rsidRPr="00EB3919">
        <w:t xml:space="preserve">Visit our </w:t>
      </w:r>
      <w:hyperlink r:id="rId18" w:history="1">
        <w:r w:rsidRPr="00EB3919">
          <w:rPr>
            <w:rStyle w:val="Hyperlink"/>
          </w:rPr>
          <w:t>Accessibility Policy</w:t>
        </w:r>
      </w:hyperlink>
      <w:r w:rsidRPr="00EB3919">
        <w:t xml:space="preserve"> for more information on our commitment to accessibility.</w:t>
      </w:r>
    </w:p>
    <w:p w14:paraId="573B0EB4" w14:textId="77777777" w:rsidR="004108E2" w:rsidRDefault="004108E2" w:rsidP="004108E2">
      <w:pPr>
        <w:pStyle w:val="Heading2"/>
      </w:pPr>
      <w:r>
        <w:t>Contact</w:t>
      </w:r>
    </w:p>
    <w:p w14:paraId="54BE4E23" w14:textId="77777777" w:rsidR="00E75946" w:rsidRDefault="00E75946" w:rsidP="00E75946">
      <w:pPr>
        <w:rPr>
          <w:rStyle w:val="Heading3Char"/>
          <w:rFonts w:ascii="Newsreader Medium" w:hAnsi="Newsreader Medium"/>
        </w:rPr>
      </w:pPr>
      <w:r>
        <w:t xml:space="preserve">For any questions, please email </w:t>
      </w:r>
      <w:hyperlink r:id="rId19" w:history="1">
        <w:r w:rsidRPr="00F533A9">
          <w:rPr>
            <w:rStyle w:val="Hyperlink"/>
          </w:rPr>
          <w:t>grants@artsmidwest.org</w:t>
        </w:r>
      </w:hyperlink>
      <w:r>
        <w:t>.</w:t>
      </w:r>
    </w:p>
    <w:p w14:paraId="706ABD5E" w14:textId="77777777" w:rsidR="00322D6C" w:rsidRPr="00322D6C" w:rsidRDefault="00322D6C" w:rsidP="00322D6C"/>
    <w:sectPr w:rsidR="00322D6C" w:rsidRPr="00322D6C" w:rsidSect="00F17BD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9714" w14:textId="77777777" w:rsidR="00992B44" w:rsidRDefault="00992B44" w:rsidP="00B247C9">
      <w:r>
        <w:separator/>
      </w:r>
    </w:p>
  </w:endnote>
  <w:endnote w:type="continuationSeparator" w:id="0">
    <w:p w14:paraId="32FA0B83" w14:textId="77777777" w:rsidR="00992B44" w:rsidRDefault="00992B44" w:rsidP="00B2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wsreader Medium">
    <w:altName w:val="Calibri"/>
    <w:panose1 w:val="020B0604020202020204"/>
    <w:charset w:val="00"/>
    <w:family w:val="auto"/>
    <w:pitch w:val="variable"/>
    <w:sig w:usb0="20000047" w:usb1="00000001" w:usb2="00000000" w:usb3="00000000" w:csb0="00000193" w:csb1="00000000"/>
  </w:font>
  <w:font w:name="Epilogue SemiBold">
    <w:altName w:val="Calibri"/>
    <w:panose1 w:val="020B0604020202020204"/>
    <w:charset w:val="00"/>
    <w:family w:val="auto"/>
    <w:pitch w:val="variable"/>
    <w:sig w:usb0="A000007F" w:usb1="4000207B" w:usb2="00000000" w:usb3="00000000" w:csb0="00000193" w:csb1="00000000"/>
  </w:font>
  <w:font w:name="Epilogue">
    <w:altName w:val="Calibri"/>
    <w:panose1 w:val="020B0604020202020204"/>
    <w:charset w:val="00"/>
    <w:family w:val="auto"/>
    <w:pitch w:val="variable"/>
    <w:sig w:usb0="A000007F" w:usb1="4000207B" w:usb2="00000000" w:usb3="00000000" w:csb0="00000193" w:csb1="00000000"/>
  </w:font>
  <w:font w:name="Newsreader">
    <w:altName w:val="Calibri"/>
    <w:panose1 w:val="020B0604020202020204"/>
    <w:charset w:val="00"/>
    <w:family w:val="auto"/>
    <w:pitch w:val="variable"/>
    <w:sig w:usb0="20000047" w:usb1="00000001" w:usb2="00000000" w:usb3="00000000" w:csb0="00000193" w:csb1="00000000"/>
  </w:font>
  <w:font w:name="Epilogue Medium">
    <w:altName w:val="Calibri"/>
    <w:panose1 w:val="020B0604020202020204"/>
    <w:charset w:val="00"/>
    <w:family w:val="auto"/>
    <w:pitch w:val="variable"/>
    <w:sig w:usb0="A000007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7B5F" w14:textId="77777777" w:rsidR="007D1E3E" w:rsidRDefault="007D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34268"/>
      <w:docPartObj>
        <w:docPartGallery w:val="Page Numbers (Bottom of Page)"/>
        <w:docPartUnique/>
      </w:docPartObj>
    </w:sdtPr>
    <w:sdtEndPr>
      <w:rPr>
        <w:noProof/>
      </w:rPr>
    </w:sdtEndPr>
    <w:sdtContent>
      <w:p w14:paraId="6C2597CF" w14:textId="77777777" w:rsidR="00F17BD8" w:rsidRDefault="00F17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3DC533" w14:textId="77777777" w:rsidR="003F2CBE" w:rsidRPr="00F17BD8" w:rsidRDefault="003F2CBE" w:rsidP="00F17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019A" w14:textId="77777777" w:rsidR="006E5B59" w:rsidRDefault="007D1E3E" w:rsidP="007D1E3E">
    <w:pPr>
      <w:pStyle w:val="Footer"/>
      <w:tabs>
        <w:tab w:val="left" w:pos="3020"/>
      </w:tabs>
    </w:pPr>
    <w:r>
      <w:tab/>
    </w:r>
    <w:r>
      <w:tab/>
    </w:r>
  </w:p>
  <w:p w14:paraId="6FEF6EAC" w14:textId="77777777" w:rsidR="00F17BD8" w:rsidRPr="006E5B59" w:rsidRDefault="006E5B59" w:rsidP="006E5B59">
    <w:pPr>
      <w:pStyle w:val="Footer"/>
      <w:jc w:val="right"/>
      <w:rPr>
        <w:rFonts w:ascii="Epilogue" w:hAnsi="Epilogue"/>
        <w:sz w:val="22"/>
        <w:szCs w:val="22"/>
      </w:rPr>
    </w:pPr>
    <w:r w:rsidRPr="006E5B59">
      <w:rPr>
        <w:rFonts w:ascii="Epilogue" w:hAnsi="Epilogue"/>
        <w:sz w:val="22"/>
        <w:szCs w:val="22"/>
      </w:rPr>
      <w:t>artsmidwest.org</w:t>
    </w:r>
    <w:r>
      <w:t xml:space="preserv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DCA3" w14:textId="77777777" w:rsidR="00992B44" w:rsidRDefault="00992B44" w:rsidP="00B247C9">
      <w:r>
        <w:separator/>
      </w:r>
    </w:p>
  </w:footnote>
  <w:footnote w:type="continuationSeparator" w:id="0">
    <w:p w14:paraId="542AD20F" w14:textId="77777777" w:rsidR="00992B44" w:rsidRDefault="00992B44" w:rsidP="00B2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751B" w14:textId="77777777" w:rsidR="007D1E3E" w:rsidRDefault="007D1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5F89" w14:textId="77777777" w:rsidR="007D1E3E" w:rsidRDefault="007D1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A282" w14:textId="77777777" w:rsidR="006E5B59" w:rsidRDefault="006E5B59" w:rsidP="006E5B59">
    <w:pPr>
      <w:pStyle w:val="Header"/>
      <w:jc w:val="right"/>
      <w:rPr>
        <w:rFonts w:ascii="Epilogue" w:hAnsi="Epilogue"/>
        <w:sz w:val="22"/>
        <w:szCs w:val="22"/>
      </w:rPr>
    </w:pPr>
    <w:bookmarkStart w:id="0" w:name="_Hlk129686084"/>
    <w:bookmarkStart w:id="1" w:name="_Hlk129686085"/>
    <w:r w:rsidRPr="006E5B59">
      <w:rPr>
        <w:rFonts w:ascii="Epilogue" w:hAnsi="Epilogue"/>
        <w:noProof/>
        <w:sz w:val="22"/>
        <w:szCs w:val="22"/>
      </w:rPr>
      <w:drawing>
        <wp:anchor distT="0" distB="0" distL="114300" distR="114300" simplePos="0" relativeHeight="251659264" behindDoc="1" locked="0" layoutInCell="1" allowOverlap="1" wp14:anchorId="3B7AA9D7" wp14:editId="0B6D3D1A">
          <wp:simplePos x="0" y="0"/>
          <wp:positionH relativeFrom="margin">
            <wp:align>left</wp:align>
          </wp:positionH>
          <wp:positionV relativeFrom="paragraph">
            <wp:posOffset>5406</wp:posOffset>
          </wp:positionV>
          <wp:extent cx="1487805" cy="573405"/>
          <wp:effectExtent l="0" t="0" r="0" b="0"/>
          <wp:wrapNone/>
          <wp:docPr id="1198973556" name="Picture 11989735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973556" name="Picture 119897355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7805" cy="573405"/>
                  </a:xfrm>
                  <a:prstGeom prst="rect">
                    <a:avLst/>
                  </a:prstGeom>
                </pic:spPr>
              </pic:pic>
            </a:graphicData>
          </a:graphic>
          <wp14:sizeRelH relativeFrom="page">
            <wp14:pctWidth>0</wp14:pctWidth>
          </wp14:sizeRelH>
          <wp14:sizeRelV relativeFrom="page">
            <wp14:pctHeight>0</wp14:pctHeight>
          </wp14:sizeRelV>
        </wp:anchor>
      </w:drawing>
    </w:r>
    <w:r w:rsidR="00F17BD8">
      <w:br/>
    </w:r>
  </w:p>
  <w:p w14:paraId="27653BE1" w14:textId="77777777" w:rsidR="006E5B59" w:rsidRDefault="006E5B59" w:rsidP="006E5B59">
    <w:pPr>
      <w:pStyle w:val="Header"/>
      <w:jc w:val="right"/>
      <w:rPr>
        <w:rFonts w:ascii="Epilogue" w:hAnsi="Epilogue"/>
        <w:sz w:val="22"/>
        <w:szCs w:val="22"/>
      </w:rPr>
    </w:pPr>
  </w:p>
  <w:p w14:paraId="71B6FABB" w14:textId="77777777" w:rsidR="00F17BD8" w:rsidRPr="006E5B59" w:rsidRDefault="006E5B59" w:rsidP="006E5B59">
    <w:pPr>
      <w:pStyle w:val="Header"/>
      <w:jc w:val="right"/>
      <w:rPr>
        <w:rFonts w:ascii="Epilogue" w:hAnsi="Epilogue"/>
        <w:sz w:val="22"/>
        <w:szCs w:val="22"/>
      </w:rPr>
    </w:pPr>
    <w:r w:rsidRPr="006E5B59">
      <w:rPr>
        <w:rFonts w:ascii="Epilogue" w:hAnsi="Epilogue"/>
        <w:sz w:val="22"/>
        <w:szCs w:val="22"/>
      </w:rPr>
      <w:t xml:space="preserve">Creativity, amplified.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5C79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F6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E666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3014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4049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A0C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BED3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8A3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141C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4A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92420"/>
    <w:multiLevelType w:val="hybridMultilevel"/>
    <w:tmpl w:val="326E26B8"/>
    <w:lvl w:ilvl="0" w:tplc="AE66097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DB35FF"/>
    <w:multiLevelType w:val="hybridMultilevel"/>
    <w:tmpl w:val="CCD0BBBC"/>
    <w:lvl w:ilvl="0" w:tplc="997476D2">
      <w:start w:val="1"/>
      <w:numFmt w:val="bullet"/>
      <w:lvlText w:val=""/>
      <w:lvlJc w:val="left"/>
      <w:pPr>
        <w:ind w:left="720" w:hanging="360"/>
      </w:pPr>
      <w:rPr>
        <w:rFonts w:ascii="Symbol" w:hAnsi="Symbol"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94891"/>
    <w:multiLevelType w:val="hybridMultilevel"/>
    <w:tmpl w:val="29D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80BF1"/>
    <w:multiLevelType w:val="hybridMultilevel"/>
    <w:tmpl w:val="A7EE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52D1C"/>
    <w:multiLevelType w:val="hybridMultilevel"/>
    <w:tmpl w:val="1CEAAD84"/>
    <w:lvl w:ilvl="0" w:tplc="AE6609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60B89"/>
    <w:multiLevelType w:val="hybridMultilevel"/>
    <w:tmpl w:val="82FE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8799E"/>
    <w:multiLevelType w:val="hybridMultilevel"/>
    <w:tmpl w:val="8E7CB526"/>
    <w:lvl w:ilvl="0" w:tplc="1FF0B5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4FFAC"/>
    <w:multiLevelType w:val="hybridMultilevel"/>
    <w:tmpl w:val="1AC4363A"/>
    <w:lvl w:ilvl="0" w:tplc="FFFFFFFF">
      <w:start w:val="1"/>
      <w:numFmt w:val="bullet"/>
      <w:lvlText w:val=""/>
      <w:lvlJc w:val="left"/>
      <w:pPr>
        <w:ind w:left="720" w:hanging="360"/>
      </w:pPr>
      <w:rPr>
        <w:rFonts w:ascii="Symbol" w:hAnsi="Symbol" w:hint="default"/>
      </w:rPr>
    </w:lvl>
    <w:lvl w:ilvl="1" w:tplc="EC981092">
      <w:start w:val="1"/>
      <w:numFmt w:val="bullet"/>
      <w:lvlText w:val="o"/>
      <w:lvlJc w:val="left"/>
      <w:pPr>
        <w:ind w:left="1440" w:hanging="360"/>
      </w:pPr>
      <w:rPr>
        <w:rFonts w:ascii="Courier New" w:hAnsi="Courier New" w:hint="default"/>
      </w:rPr>
    </w:lvl>
    <w:lvl w:ilvl="2" w:tplc="F0B2847E">
      <w:start w:val="1"/>
      <w:numFmt w:val="bullet"/>
      <w:lvlText w:val=""/>
      <w:lvlJc w:val="left"/>
      <w:pPr>
        <w:ind w:left="2160" w:hanging="360"/>
      </w:pPr>
      <w:rPr>
        <w:rFonts w:ascii="Wingdings" w:hAnsi="Wingdings" w:hint="default"/>
      </w:rPr>
    </w:lvl>
    <w:lvl w:ilvl="3" w:tplc="3EAEE4EC">
      <w:start w:val="1"/>
      <w:numFmt w:val="bullet"/>
      <w:lvlText w:val=""/>
      <w:lvlJc w:val="left"/>
      <w:pPr>
        <w:ind w:left="2880" w:hanging="360"/>
      </w:pPr>
      <w:rPr>
        <w:rFonts w:ascii="Symbol" w:hAnsi="Symbol" w:hint="default"/>
      </w:rPr>
    </w:lvl>
    <w:lvl w:ilvl="4" w:tplc="B2F292E0">
      <w:start w:val="1"/>
      <w:numFmt w:val="bullet"/>
      <w:lvlText w:val="o"/>
      <w:lvlJc w:val="left"/>
      <w:pPr>
        <w:ind w:left="3600" w:hanging="360"/>
      </w:pPr>
      <w:rPr>
        <w:rFonts w:ascii="Courier New" w:hAnsi="Courier New" w:hint="default"/>
      </w:rPr>
    </w:lvl>
    <w:lvl w:ilvl="5" w:tplc="29B8FAFA">
      <w:start w:val="1"/>
      <w:numFmt w:val="bullet"/>
      <w:lvlText w:val=""/>
      <w:lvlJc w:val="left"/>
      <w:pPr>
        <w:ind w:left="4320" w:hanging="360"/>
      </w:pPr>
      <w:rPr>
        <w:rFonts w:ascii="Wingdings" w:hAnsi="Wingdings" w:hint="default"/>
      </w:rPr>
    </w:lvl>
    <w:lvl w:ilvl="6" w:tplc="FC90C762">
      <w:start w:val="1"/>
      <w:numFmt w:val="bullet"/>
      <w:lvlText w:val=""/>
      <w:lvlJc w:val="left"/>
      <w:pPr>
        <w:ind w:left="5040" w:hanging="360"/>
      </w:pPr>
      <w:rPr>
        <w:rFonts w:ascii="Symbol" w:hAnsi="Symbol" w:hint="default"/>
      </w:rPr>
    </w:lvl>
    <w:lvl w:ilvl="7" w:tplc="8FDC73E4">
      <w:start w:val="1"/>
      <w:numFmt w:val="bullet"/>
      <w:lvlText w:val="o"/>
      <w:lvlJc w:val="left"/>
      <w:pPr>
        <w:ind w:left="5760" w:hanging="360"/>
      </w:pPr>
      <w:rPr>
        <w:rFonts w:ascii="Courier New" w:hAnsi="Courier New" w:hint="default"/>
      </w:rPr>
    </w:lvl>
    <w:lvl w:ilvl="8" w:tplc="7E4A45D4">
      <w:start w:val="1"/>
      <w:numFmt w:val="bullet"/>
      <w:lvlText w:val=""/>
      <w:lvlJc w:val="left"/>
      <w:pPr>
        <w:ind w:left="6480" w:hanging="360"/>
      </w:pPr>
      <w:rPr>
        <w:rFonts w:ascii="Wingdings" w:hAnsi="Wingdings" w:hint="default"/>
      </w:rPr>
    </w:lvl>
  </w:abstractNum>
  <w:abstractNum w:abstractNumId="18" w15:restartNumberingAfterBreak="0">
    <w:nsid w:val="7115005C"/>
    <w:multiLevelType w:val="hybridMultilevel"/>
    <w:tmpl w:val="F68E423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4E0F58"/>
    <w:multiLevelType w:val="hybridMultilevel"/>
    <w:tmpl w:val="C8FAA9A2"/>
    <w:lvl w:ilvl="0" w:tplc="C21AF27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4337132">
    <w:abstractNumId w:val="19"/>
  </w:num>
  <w:num w:numId="2" w16cid:durableId="147943397">
    <w:abstractNumId w:val="9"/>
  </w:num>
  <w:num w:numId="3" w16cid:durableId="489490307">
    <w:abstractNumId w:val="7"/>
  </w:num>
  <w:num w:numId="4" w16cid:durableId="807547868">
    <w:abstractNumId w:val="6"/>
  </w:num>
  <w:num w:numId="5" w16cid:durableId="1287352699">
    <w:abstractNumId w:val="5"/>
  </w:num>
  <w:num w:numId="6" w16cid:durableId="955252774">
    <w:abstractNumId w:val="4"/>
  </w:num>
  <w:num w:numId="7" w16cid:durableId="1412972715">
    <w:abstractNumId w:val="8"/>
  </w:num>
  <w:num w:numId="8" w16cid:durableId="205915503">
    <w:abstractNumId w:val="3"/>
  </w:num>
  <w:num w:numId="9" w16cid:durableId="1882784254">
    <w:abstractNumId w:val="2"/>
  </w:num>
  <w:num w:numId="10" w16cid:durableId="1847862525">
    <w:abstractNumId w:val="1"/>
  </w:num>
  <w:num w:numId="11" w16cid:durableId="205070270">
    <w:abstractNumId w:val="0"/>
  </w:num>
  <w:num w:numId="12" w16cid:durableId="125516431">
    <w:abstractNumId w:val="17"/>
  </w:num>
  <w:num w:numId="13" w16cid:durableId="802308778">
    <w:abstractNumId w:val="12"/>
  </w:num>
  <w:num w:numId="14" w16cid:durableId="1152138235">
    <w:abstractNumId w:val="14"/>
  </w:num>
  <w:num w:numId="15" w16cid:durableId="960763409">
    <w:abstractNumId w:val="18"/>
  </w:num>
  <w:num w:numId="16" w16cid:durableId="399905245">
    <w:abstractNumId w:val="10"/>
  </w:num>
  <w:num w:numId="17" w16cid:durableId="486480602">
    <w:abstractNumId w:val="16"/>
  </w:num>
  <w:num w:numId="18" w16cid:durableId="1610579125">
    <w:abstractNumId w:val="11"/>
  </w:num>
  <w:num w:numId="19" w16cid:durableId="1965915906">
    <w:abstractNumId w:val="15"/>
  </w:num>
  <w:num w:numId="20" w16cid:durableId="11784986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1A"/>
    <w:rsid w:val="00032FDE"/>
    <w:rsid w:val="0005243C"/>
    <w:rsid w:val="0006363D"/>
    <w:rsid w:val="00081F39"/>
    <w:rsid w:val="00091D07"/>
    <w:rsid w:val="000F7455"/>
    <w:rsid w:val="00103B8C"/>
    <w:rsid w:val="00126B08"/>
    <w:rsid w:val="00131E1E"/>
    <w:rsid w:val="00154893"/>
    <w:rsid w:val="00165297"/>
    <w:rsid w:val="00170598"/>
    <w:rsid w:val="00182E8E"/>
    <w:rsid w:val="001C12C4"/>
    <w:rsid w:val="001D07A9"/>
    <w:rsid w:val="001E7683"/>
    <w:rsid w:val="00207743"/>
    <w:rsid w:val="00230659"/>
    <w:rsid w:val="0023579D"/>
    <w:rsid w:val="002415DE"/>
    <w:rsid w:val="0024421F"/>
    <w:rsid w:val="002959BE"/>
    <w:rsid w:val="002C42E7"/>
    <w:rsid w:val="002C47D7"/>
    <w:rsid w:val="002C5514"/>
    <w:rsid w:val="002D265D"/>
    <w:rsid w:val="00322D6C"/>
    <w:rsid w:val="00332464"/>
    <w:rsid w:val="0035579B"/>
    <w:rsid w:val="003C7F43"/>
    <w:rsid w:val="003F2084"/>
    <w:rsid w:val="003F2CBE"/>
    <w:rsid w:val="00404100"/>
    <w:rsid w:val="004108E2"/>
    <w:rsid w:val="004131F6"/>
    <w:rsid w:val="00421384"/>
    <w:rsid w:val="00443ABE"/>
    <w:rsid w:val="00456158"/>
    <w:rsid w:val="00461311"/>
    <w:rsid w:val="00475558"/>
    <w:rsid w:val="004768EC"/>
    <w:rsid w:val="004A3BAD"/>
    <w:rsid w:val="0051137B"/>
    <w:rsid w:val="00564E4C"/>
    <w:rsid w:val="00601F1E"/>
    <w:rsid w:val="00612541"/>
    <w:rsid w:val="00660284"/>
    <w:rsid w:val="00670730"/>
    <w:rsid w:val="00696897"/>
    <w:rsid w:val="006D21FA"/>
    <w:rsid w:val="006E042A"/>
    <w:rsid w:val="006E1471"/>
    <w:rsid w:val="006E5B59"/>
    <w:rsid w:val="006E7A82"/>
    <w:rsid w:val="00700B89"/>
    <w:rsid w:val="00701194"/>
    <w:rsid w:val="0070248D"/>
    <w:rsid w:val="0075128A"/>
    <w:rsid w:val="00765297"/>
    <w:rsid w:val="00771B9E"/>
    <w:rsid w:val="00772C81"/>
    <w:rsid w:val="00777782"/>
    <w:rsid w:val="00780960"/>
    <w:rsid w:val="00793031"/>
    <w:rsid w:val="007C02B3"/>
    <w:rsid w:val="007D1E3E"/>
    <w:rsid w:val="007D66A2"/>
    <w:rsid w:val="007E409A"/>
    <w:rsid w:val="007F3DDD"/>
    <w:rsid w:val="00832D4A"/>
    <w:rsid w:val="00863D81"/>
    <w:rsid w:val="00866420"/>
    <w:rsid w:val="0086773E"/>
    <w:rsid w:val="008A34B0"/>
    <w:rsid w:val="008B596C"/>
    <w:rsid w:val="008C20BF"/>
    <w:rsid w:val="008C6B3B"/>
    <w:rsid w:val="008D392B"/>
    <w:rsid w:val="008E60EB"/>
    <w:rsid w:val="008E6F5A"/>
    <w:rsid w:val="008F131A"/>
    <w:rsid w:val="00916592"/>
    <w:rsid w:val="00924B52"/>
    <w:rsid w:val="00925929"/>
    <w:rsid w:val="00962D16"/>
    <w:rsid w:val="009712DF"/>
    <w:rsid w:val="0097591F"/>
    <w:rsid w:val="009902B8"/>
    <w:rsid w:val="00992B44"/>
    <w:rsid w:val="009B236F"/>
    <w:rsid w:val="009C2FAB"/>
    <w:rsid w:val="009F343C"/>
    <w:rsid w:val="00A02C90"/>
    <w:rsid w:val="00A05524"/>
    <w:rsid w:val="00A10314"/>
    <w:rsid w:val="00A23359"/>
    <w:rsid w:val="00A3091D"/>
    <w:rsid w:val="00A33CD5"/>
    <w:rsid w:val="00A50DAC"/>
    <w:rsid w:val="00A6100B"/>
    <w:rsid w:val="00A71C94"/>
    <w:rsid w:val="00A725CF"/>
    <w:rsid w:val="00AA3118"/>
    <w:rsid w:val="00AB107B"/>
    <w:rsid w:val="00AE0A2D"/>
    <w:rsid w:val="00B0319E"/>
    <w:rsid w:val="00B12207"/>
    <w:rsid w:val="00B247C9"/>
    <w:rsid w:val="00B34527"/>
    <w:rsid w:val="00B35FDD"/>
    <w:rsid w:val="00B7252C"/>
    <w:rsid w:val="00BA4D8D"/>
    <w:rsid w:val="00BE20F8"/>
    <w:rsid w:val="00C200DE"/>
    <w:rsid w:val="00C25128"/>
    <w:rsid w:val="00C3019E"/>
    <w:rsid w:val="00C57177"/>
    <w:rsid w:val="00C732B2"/>
    <w:rsid w:val="00C937A5"/>
    <w:rsid w:val="00D12860"/>
    <w:rsid w:val="00D559C2"/>
    <w:rsid w:val="00D67197"/>
    <w:rsid w:val="00DC5205"/>
    <w:rsid w:val="00DE2170"/>
    <w:rsid w:val="00E01EEB"/>
    <w:rsid w:val="00E1196B"/>
    <w:rsid w:val="00E21A08"/>
    <w:rsid w:val="00E25944"/>
    <w:rsid w:val="00E41543"/>
    <w:rsid w:val="00E4211C"/>
    <w:rsid w:val="00E45DF1"/>
    <w:rsid w:val="00E643C5"/>
    <w:rsid w:val="00E75946"/>
    <w:rsid w:val="00E9432F"/>
    <w:rsid w:val="00E94C5D"/>
    <w:rsid w:val="00E94E64"/>
    <w:rsid w:val="00EE7056"/>
    <w:rsid w:val="00F00DC4"/>
    <w:rsid w:val="00F17BD8"/>
    <w:rsid w:val="00F6198E"/>
    <w:rsid w:val="00F740DF"/>
    <w:rsid w:val="00F92504"/>
    <w:rsid w:val="00F92805"/>
    <w:rsid w:val="00F96E13"/>
    <w:rsid w:val="00FD0929"/>
    <w:rsid w:val="00FE1979"/>
    <w:rsid w:val="00FE700D"/>
    <w:rsid w:val="00FF255C"/>
    <w:rsid w:val="00FF6505"/>
    <w:rsid w:val="28DB8F2D"/>
    <w:rsid w:val="2AB09C3E"/>
    <w:rsid w:val="3FA617C0"/>
    <w:rsid w:val="47F4F1A4"/>
    <w:rsid w:val="4990C205"/>
    <w:rsid w:val="597E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E19C2"/>
  <w15:chartTrackingRefBased/>
  <w15:docId w15:val="{9AEC6FDC-331D-4089-A1B2-AE3D77C0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58"/>
    <w:rPr>
      <w:rFonts w:ascii="Newsreader Medium" w:eastAsia="Newsreader Medium" w:hAnsi="Newsreader Medium" w:cs="Newsreader Medium"/>
      <w:sz w:val="24"/>
      <w:szCs w:val="24"/>
    </w:rPr>
  </w:style>
  <w:style w:type="paragraph" w:styleId="Heading1">
    <w:name w:val="heading 1"/>
    <w:basedOn w:val="Normal"/>
    <w:next w:val="Normal"/>
    <w:link w:val="Heading1Char"/>
    <w:uiPriority w:val="9"/>
    <w:qFormat/>
    <w:rsid w:val="002D265D"/>
    <w:pPr>
      <w:keepNext/>
      <w:keepLines/>
      <w:spacing w:before="80" w:after="320"/>
      <w:outlineLvl w:val="0"/>
    </w:pPr>
    <w:rPr>
      <w:rFonts w:ascii="Epilogue SemiBold" w:eastAsiaTheme="majorEastAsia" w:hAnsi="Epilogue SemiBold" w:cstheme="majorBidi"/>
      <w:spacing w:val="-10"/>
      <w:kern w:val="28"/>
      <w:sz w:val="36"/>
      <w:szCs w:val="56"/>
    </w:rPr>
  </w:style>
  <w:style w:type="paragraph" w:styleId="Heading2">
    <w:name w:val="heading 2"/>
    <w:basedOn w:val="Heading3"/>
    <w:next w:val="Normal"/>
    <w:link w:val="Heading2Char"/>
    <w:uiPriority w:val="9"/>
    <w:unhideWhenUsed/>
    <w:qFormat/>
    <w:rsid w:val="00A3091D"/>
    <w:pPr>
      <w:outlineLvl w:val="1"/>
    </w:pPr>
    <w:rPr>
      <w:rFonts w:ascii="Epilogue" w:hAnsi="Epilogue"/>
      <w:sz w:val="32"/>
      <w:szCs w:val="26"/>
    </w:rPr>
  </w:style>
  <w:style w:type="paragraph" w:styleId="Heading3">
    <w:name w:val="heading 3"/>
    <w:basedOn w:val="Normal"/>
    <w:next w:val="Normal"/>
    <w:link w:val="Heading3Char"/>
    <w:uiPriority w:val="9"/>
    <w:unhideWhenUsed/>
    <w:qFormat/>
    <w:rsid w:val="00A3091D"/>
    <w:pPr>
      <w:spacing w:before="400"/>
      <w:outlineLvl w:val="2"/>
    </w:pPr>
    <w:rPr>
      <w:rFonts w:ascii="Epilogue SemiBold" w:eastAsiaTheme="majorEastAsia" w:hAnsi="Epilogue SemiBold" w:cstheme="majorBidi"/>
    </w:rPr>
  </w:style>
  <w:style w:type="paragraph" w:styleId="Heading4">
    <w:name w:val="heading 4"/>
    <w:basedOn w:val="Normal"/>
    <w:next w:val="Normal"/>
    <w:link w:val="Heading4Char"/>
    <w:uiPriority w:val="9"/>
    <w:unhideWhenUsed/>
    <w:qFormat/>
    <w:rsid w:val="00A3091D"/>
    <w:pPr>
      <w:spacing w:before="320"/>
      <w:outlineLvl w:val="3"/>
    </w:pPr>
    <w:rPr>
      <w:rFonts w:ascii="Newsreader" w:eastAsiaTheme="majorEastAsia" w:hAnsi="Newsreader"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rogram Title"/>
    <w:basedOn w:val="Normal"/>
    <w:next w:val="Normal"/>
    <w:link w:val="TitleChar"/>
    <w:uiPriority w:val="10"/>
    <w:qFormat/>
    <w:rsid w:val="00B12207"/>
    <w:pPr>
      <w:spacing w:after="0"/>
      <w:contextualSpacing/>
    </w:pPr>
    <w:rPr>
      <w:rFonts w:ascii="Epilogue Medium" w:eastAsiaTheme="majorEastAsia" w:hAnsi="Epilogue Medium" w:cstheme="majorBidi"/>
      <w:spacing w:val="-10"/>
      <w:kern w:val="28"/>
      <w:szCs w:val="56"/>
    </w:rPr>
  </w:style>
  <w:style w:type="character" w:customStyle="1" w:styleId="TitleChar">
    <w:name w:val="Title Char"/>
    <w:aliases w:val="Program Title Char"/>
    <w:basedOn w:val="DefaultParagraphFont"/>
    <w:link w:val="Title"/>
    <w:uiPriority w:val="10"/>
    <w:rsid w:val="00B12207"/>
    <w:rPr>
      <w:rFonts w:ascii="Epilogue Medium" w:eastAsiaTheme="majorEastAsia" w:hAnsi="Epilogue Medium" w:cstheme="majorBidi"/>
      <w:spacing w:val="-10"/>
      <w:kern w:val="28"/>
      <w:sz w:val="24"/>
      <w:szCs w:val="56"/>
    </w:rPr>
  </w:style>
  <w:style w:type="paragraph" w:styleId="Header">
    <w:name w:val="header"/>
    <w:basedOn w:val="Normal"/>
    <w:link w:val="HeaderChar"/>
    <w:uiPriority w:val="99"/>
    <w:unhideWhenUsed/>
    <w:rsid w:val="00772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C81"/>
  </w:style>
  <w:style w:type="paragraph" w:styleId="Footer">
    <w:name w:val="footer"/>
    <w:basedOn w:val="Normal"/>
    <w:link w:val="FooterChar"/>
    <w:uiPriority w:val="99"/>
    <w:unhideWhenUsed/>
    <w:rsid w:val="00772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C81"/>
  </w:style>
  <w:style w:type="character" w:customStyle="1" w:styleId="Heading1Char">
    <w:name w:val="Heading 1 Char"/>
    <w:basedOn w:val="DefaultParagraphFont"/>
    <w:link w:val="Heading1"/>
    <w:uiPriority w:val="9"/>
    <w:rsid w:val="002D265D"/>
    <w:rPr>
      <w:rFonts w:ascii="Epilogue SemiBold" w:eastAsiaTheme="majorEastAsia" w:hAnsi="Epilogue SemiBold" w:cstheme="majorBidi"/>
      <w:spacing w:val="-10"/>
      <w:kern w:val="28"/>
      <w:sz w:val="36"/>
      <w:szCs w:val="56"/>
    </w:rPr>
  </w:style>
  <w:style w:type="paragraph" w:styleId="NoSpacing">
    <w:name w:val="No Spacing"/>
    <w:uiPriority w:val="1"/>
    <w:qFormat/>
    <w:rsid w:val="002D265D"/>
    <w:pPr>
      <w:spacing w:after="0" w:line="240" w:lineRule="auto"/>
    </w:pPr>
  </w:style>
  <w:style w:type="character" w:customStyle="1" w:styleId="Heading2Char">
    <w:name w:val="Heading 2 Char"/>
    <w:basedOn w:val="DefaultParagraphFont"/>
    <w:link w:val="Heading2"/>
    <w:uiPriority w:val="9"/>
    <w:rsid w:val="00A3091D"/>
    <w:rPr>
      <w:rFonts w:ascii="Epilogue" w:eastAsiaTheme="majorEastAsia" w:hAnsi="Epilogue" w:cstheme="majorBidi"/>
      <w:sz w:val="32"/>
      <w:szCs w:val="26"/>
    </w:rPr>
  </w:style>
  <w:style w:type="character" w:customStyle="1" w:styleId="Heading3Char">
    <w:name w:val="Heading 3 Char"/>
    <w:basedOn w:val="DefaultParagraphFont"/>
    <w:link w:val="Heading3"/>
    <w:uiPriority w:val="9"/>
    <w:rsid w:val="00A3091D"/>
    <w:rPr>
      <w:rFonts w:ascii="Epilogue SemiBold" w:eastAsiaTheme="majorEastAsia" w:hAnsi="Epilogue SemiBold" w:cstheme="majorBidi"/>
      <w:sz w:val="24"/>
      <w:szCs w:val="24"/>
    </w:rPr>
  </w:style>
  <w:style w:type="character" w:customStyle="1" w:styleId="Heading4Char">
    <w:name w:val="Heading 4 Char"/>
    <w:basedOn w:val="DefaultParagraphFont"/>
    <w:link w:val="Heading4"/>
    <w:uiPriority w:val="9"/>
    <w:rsid w:val="00A3091D"/>
    <w:rPr>
      <w:rFonts w:ascii="Newsreader" w:eastAsiaTheme="majorEastAsia" w:hAnsi="Newsreader" w:cstheme="majorBidi"/>
      <w:b/>
      <w:iCs/>
      <w:sz w:val="24"/>
      <w:szCs w:val="24"/>
    </w:rPr>
  </w:style>
  <w:style w:type="paragraph" w:styleId="Quote">
    <w:name w:val="Quote"/>
    <w:basedOn w:val="Normal"/>
    <w:next w:val="Normal"/>
    <w:link w:val="QuoteChar"/>
    <w:uiPriority w:val="29"/>
    <w:qFormat/>
    <w:rsid w:val="00A3091D"/>
    <w:pPr>
      <w:jc w:val="center"/>
    </w:pPr>
    <w:rPr>
      <w:rFonts w:ascii="Epilogue" w:hAnsi="Epilogue"/>
      <w:iCs/>
      <w:sz w:val="32"/>
    </w:rPr>
  </w:style>
  <w:style w:type="character" w:customStyle="1" w:styleId="QuoteChar">
    <w:name w:val="Quote Char"/>
    <w:basedOn w:val="DefaultParagraphFont"/>
    <w:link w:val="Quote"/>
    <w:uiPriority w:val="29"/>
    <w:rsid w:val="00A3091D"/>
    <w:rPr>
      <w:rFonts w:ascii="Epilogue" w:hAnsi="Epilogue"/>
      <w:iCs/>
      <w:sz w:val="32"/>
      <w:szCs w:val="24"/>
    </w:rPr>
  </w:style>
  <w:style w:type="paragraph" w:styleId="ListParagraph">
    <w:name w:val="List Paragraph"/>
    <w:basedOn w:val="Normal"/>
    <w:uiPriority w:val="34"/>
    <w:qFormat/>
    <w:rsid w:val="004131F6"/>
    <w:pPr>
      <w:numPr>
        <w:numId w:val="1"/>
      </w:numPr>
      <w:ind w:firstLine="360"/>
      <w:contextualSpacing/>
    </w:pPr>
  </w:style>
  <w:style w:type="character" w:styleId="SubtleReference">
    <w:name w:val="Subtle Reference"/>
    <w:aliases w:val="Table and Quote Label,Table Label"/>
    <w:basedOn w:val="SubtleEmphasis"/>
    <w:uiPriority w:val="31"/>
    <w:qFormat/>
    <w:rsid w:val="007C02B3"/>
    <w:rPr>
      <w:rFonts w:ascii="Epilogue Medium" w:hAnsi="Epilogue Medium"/>
      <w:i w:val="0"/>
      <w:iCs/>
      <w:caps w:val="0"/>
      <w:smallCaps w:val="0"/>
      <w:color w:val="000000" w:themeColor="text1"/>
      <w:sz w:val="18"/>
    </w:rPr>
  </w:style>
  <w:style w:type="character" w:styleId="BookTitle">
    <w:name w:val="Book Title"/>
    <w:basedOn w:val="DefaultParagraphFont"/>
    <w:uiPriority w:val="33"/>
    <w:qFormat/>
    <w:rsid w:val="007C02B3"/>
    <w:rPr>
      <w:b/>
      <w:bCs/>
      <w:i/>
      <w:iCs/>
      <w:spacing w:val="5"/>
    </w:rPr>
  </w:style>
  <w:style w:type="character" w:styleId="SubtleEmphasis">
    <w:name w:val="Subtle Emphasis"/>
    <w:basedOn w:val="DefaultParagraphFont"/>
    <w:uiPriority w:val="19"/>
    <w:rsid w:val="007C02B3"/>
    <w:rPr>
      <w:i/>
      <w:iCs/>
      <w:color w:val="404040" w:themeColor="text1" w:themeTint="BF"/>
    </w:rPr>
  </w:style>
  <w:style w:type="character" w:styleId="Strong">
    <w:name w:val="Strong"/>
    <w:basedOn w:val="DefaultParagraphFont"/>
    <w:uiPriority w:val="22"/>
    <w:qFormat/>
    <w:rsid w:val="007C02B3"/>
    <w:rPr>
      <w:b/>
      <w:bCs/>
    </w:rPr>
  </w:style>
  <w:style w:type="paragraph" w:styleId="Caption">
    <w:name w:val="caption"/>
    <w:basedOn w:val="Normal"/>
    <w:next w:val="Normal"/>
    <w:uiPriority w:val="35"/>
    <w:unhideWhenUsed/>
    <w:qFormat/>
    <w:rsid w:val="00207743"/>
    <w:pPr>
      <w:spacing w:after="200" w:line="240" w:lineRule="auto"/>
    </w:pPr>
    <w:rPr>
      <w:i/>
      <w:iCs/>
      <w:sz w:val="18"/>
      <w:szCs w:val="18"/>
    </w:rPr>
  </w:style>
  <w:style w:type="character" w:styleId="Hyperlink">
    <w:name w:val="Hyperlink"/>
    <w:basedOn w:val="DefaultParagraphFont"/>
    <w:uiPriority w:val="99"/>
    <w:unhideWhenUsed/>
    <w:qFormat/>
    <w:rsid w:val="00207743"/>
    <w:rPr>
      <w:color w:val="181825" w:themeColor="hyperlink"/>
      <w:u w:val="single"/>
    </w:rPr>
  </w:style>
  <w:style w:type="table" w:styleId="TableGrid">
    <w:name w:val="Table Grid"/>
    <w:basedOn w:val="TableNormal"/>
    <w:uiPriority w:val="39"/>
    <w:rsid w:val="007D66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7D66A2"/>
    <w:rPr>
      <w:rFonts w:eastAsiaTheme="minorEastAsia"/>
      <w:color w:val="5A5A5A"/>
    </w:rPr>
  </w:style>
  <w:style w:type="character" w:customStyle="1" w:styleId="SubtitleChar">
    <w:name w:val="Subtitle Char"/>
    <w:basedOn w:val="DefaultParagraphFont"/>
    <w:link w:val="Subtitle"/>
    <w:uiPriority w:val="11"/>
    <w:rsid w:val="007D66A2"/>
    <w:rPr>
      <w:rFonts w:ascii="Newsreader Medium" w:eastAsiaTheme="minorEastAsia" w:hAnsi="Newsreader Medium" w:cs="Newsreader Medium"/>
      <w:color w:val="5A5A5A"/>
      <w:sz w:val="24"/>
      <w:szCs w:val="24"/>
    </w:rPr>
  </w:style>
  <w:style w:type="character" w:styleId="Emphasis">
    <w:name w:val="Emphasis"/>
    <w:basedOn w:val="DefaultParagraphFont"/>
    <w:uiPriority w:val="20"/>
    <w:qFormat/>
    <w:rsid w:val="007D66A2"/>
    <w:rPr>
      <w:i/>
      <w:iCs/>
    </w:rPr>
  </w:style>
  <w:style w:type="character" w:styleId="UnresolvedMention">
    <w:name w:val="Unresolved Mention"/>
    <w:basedOn w:val="DefaultParagraphFont"/>
    <w:uiPriority w:val="99"/>
    <w:semiHidden/>
    <w:unhideWhenUsed/>
    <w:rsid w:val="00126B08"/>
    <w:rPr>
      <w:color w:val="605E5C"/>
      <w:shd w:val="clear" w:color="auto" w:fill="E1DFDD"/>
    </w:rPr>
  </w:style>
  <w:style w:type="character" w:styleId="CommentReference">
    <w:name w:val="annotation reference"/>
    <w:basedOn w:val="DefaultParagraphFont"/>
    <w:uiPriority w:val="99"/>
    <w:semiHidden/>
    <w:unhideWhenUsed/>
    <w:rsid w:val="00BA4D8D"/>
    <w:rPr>
      <w:sz w:val="16"/>
      <w:szCs w:val="16"/>
    </w:rPr>
  </w:style>
  <w:style w:type="paragraph" w:styleId="CommentText">
    <w:name w:val="annotation text"/>
    <w:basedOn w:val="Normal"/>
    <w:link w:val="CommentTextChar"/>
    <w:uiPriority w:val="99"/>
    <w:unhideWhenUsed/>
    <w:rsid w:val="00BA4D8D"/>
    <w:pPr>
      <w:spacing w:line="240" w:lineRule="auto"/>
    </w:pPr>
    <w:rPr>
      <w:sz w:val="20"/>
      <w:szCs w:val="20"/>
    </w:rPr>
  </w:style>
  <w:style w:type="character" w:customStyle="1" w:styleId="CommentTextChar">
    <w:name w:val="Comment Text Char"/>
    <w:basedOn w:val="DefaultParagraphFont"/>
    <w:link w:val="CommentText"/>
    <w:uiPriority w:val="99"/>
    <w:rsid w:val="00BA4D8D"/>
    <w:rPr>
      <w:rFonts w:ascii="Newsreader Medium" w:eastAsia="Newsreader Medium" w:hAnsi="Newsreader Medium" w:cs="Newsreader Medium"/>
      <w:sz w:val="20"/>
      <w:szCs w:val="20"/>
    </w:rPr>
  </w:style>
  <w:style w:type="paragraph" w:styleId="CommentSubject">
    <w:name w:val="annotation subject"/>
    <w:basedOn w:val="CommentText"/>
    <w:next w:val="CommentText"/>
    <w:link w:val="CommentSubjectChar"/>
    <w:uiPriority w:val="99"/>
    <w:semiHidden/>
    <w:unhideWhenUsed/>
    <w:rsid w:val="00BA4D8D"/>
    <w:rPr>
      <w:b/>
      <w:bCs/>
    </w:rPr>
  </w:style>
  <w:style w:type="character" w:customStyle="1" w:styleId="CommentSubjectChar">
    <w:name w:val="Comment Subject Char"/>
    <w:basedOn w:val="CommentTextChar"/>
    <w:link w:val="CommentSubject"/>
    <w:uiPriority w:val="99"/>
    <w:semiHidden/>
    <w:rsid w:val="00BA4D8D"/>
    <w:rPr>
      <w:rFonts w:ascii="Newsreader Medium" w:eastAsia="Newsreader Medium" w:hAnsi="Newsreader Medium" w:cs="Newsreader Medium"/>
      <w:b/>
      <w:bCs/>
      <w:sz w:val="20"/>
      <w:szCs w:val="20"/>
    </w:rPr>
  </w:style>
  <w:style w:type="character" w:customStyle="1" w:styleId="eop">
    <w:name w:val="eop"/>
    <w:basedOn w:val="DefaultParagraphFont"/>
    <w:rsid w:val="00E41543"/>
  </w:style>
  <w:style w:type="character" w:customStyle="1" w:styleId="normaltextrun">
    <w:name w:val="normaltextrun"/>
    <w:basedOn w:val="DefaultParagraphFont"/>
    <w:rsid w:val="00E41543"/>
  </w:style>
  <w:style w:type="paragraph" w:customStyle="1" w:styleId="Heading2alt">
    <w:name w:val="Heading 2 alt"/>
    <w:basedOn w:val="Heading1"/>
    <w:link w:val="Heading2altChar"/>
    <w:qFormat/>
    <w:rsid w:val="008E60EB"/>
    <w:rPr>
      <w:rFonts w:ascii="Epilogue" w:hAnsi="Epilogue"/>
      <w:bCs/>
    </w:rPr>
  </w:style>
  <w:style w:type="character" w:customStyle="1" w:styleId="Heading2altChar">
    <w:name w:val="Heading 2 alt Char"/>
    <w:basedOn w:val="Heading1Char"/>
    <w:link w:val="Heading2alt"/>
    <w:rsid w:val="008E60EB"/>
    <w:rPr>
      <w:rFonts w:ascii="Epilogue" w:eastAsiaTheme="majorEastAsia" w:hAnsi="Epilogue" w:cstheme="majorBidi"/>
      <w:bCs/>
      <w:spacing w:val="-10"/>
      <w:kern w:val="28"/>
      <w:sz w:val="36"/>
      <w:szCs w:val="56"/>
    </w:rPr>
  </w:style>
  <w:style w:type="paragraph" w:styleId="Revision">
    <w:name w:val="Revision"/>
    <w:hidden/>
    <w:uiPriority w:val="99"/>
    <w:semiHidden/>
    <w:rsid w:val="007E409A"/>
    <w:pPr>
      <w:spacing w:after="0" w:line="240" w:lineRule="auto"/>
    </w:pPr>
    <w:rPr>
      <w:rFonts w:ascii="Newsreader Medium" w:eastAsia="Newsreader Medium" w:hAnsi="Newsreader Medium" w:cs="Newsreader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midwest.org/programs/federal_requirements" TargetMode="External"/><Relationship Id="rId18" Type="http://schemas.openxmlformats.org/officeDocument/2006/relationships/hyperlink" Target="https://artsmidwest.org/accessibility-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sd.gov/sys_attachment.do?sys_id=3866d0061b13b8106397ec21f54bcb72" TargetMode="External"/><Relationship Id="rId17" Type="http://schemas.openxmlformats.org/officeDocument/2006/relationships/hyperlink" Target="https://form.asana.com/?k=qktzhgcymrEcAOig3CaedQ&amp;d=714996525370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rtsmidwest.us-1.smartsimple.com/s_Login.j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9/part-505"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rtsmidwest.org/get-support/federal-eligibility-requiremen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grants@artsmidwe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9/part-505"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ts Midwest Colors">
      <a:dk1>
        <a:sysClr val="windowText" lastClr="000000"/>
      </a:dk1>
      <a:lt1>
        <a:sysClr val="window" lastClr="FFFFFF"/>
      </a:lt1>
      <a:dk2>
        <a:srgbClr val="181825"/>
      </a:dk2>
      <a:lt2>
        <a:srgbClr val="F4F7F5"/>
      </a:lt2>
      <a:accent1>
        <a:srgbClr val="BBE000"/>
      </a:accent1>
      <a:accent2>
        <a:srgbClr val="E1FF4A"/>
      </a:accent2>
      <a:accent3>
        <a:srgbClr val="6C5CFF"/>
      </a:accent3>
      <a:accent4>
        <a:srgbClr val="94A4FF"/>
      </a:accent4>
      <a:accent5>
        <a:srgbClr val="FF7555"/>
      </a:accent5>
      <a:accent6>
        <a:srgbClr val="FFAC99"/>
      </a:accent6>
      <a:hlink>
        <a:srgbClr val="181825"/>
      </a:hlink>
      <a:folHlink>
        <a:srgbClr val="6C5C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DBAB6B95A824EB235D736BADEEF3B" ma:contentTypeVersion="14" ma:contentTypeDescription="Create a new document." ma:contentTypeScope="" ma:versionID="070c1d52d4f7a48002b82ce3202e50c0">
  <xsd:schema xmlns:xsd="http://www.w3.org/2001/XMLSchema" xmlns:xs="http://www.w3.org/2001/XMLSchema" xmlns:p="http://schemas.microsoft.com/office/2006/metadata/properties" xmlns:ns2="e8a5335c-9df0-44a6-992e-6f23f6f7b5b9" xmlns:ns3="be6f45aa-c6e1-4250-8d7b-d5323b2ce957" targetNamespace="http://schemas.microsoft.com/office/2006/metadata/properties" ma:root="true" ma:fieldsID="f10db046c78c40da0c2efc8c0a691788" ns2:_="" ns3:_="">
    <xsd:import namespace="e8a5335c-9df0-44a6-992e-6f23f6f7b5b9"/>
    <xsd:import namespace="be6f45aa-c6e1-4250-8d7b-d5323b2ce9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335c-9df0-44a6-992e-6f23f6f7b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f45aa-c6e1-4250-8d7b-d5323b2ce9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65f6fcf-f54b-498a-998b-a72a5fb9c755}" ma:internalName="TaxCatchAll" ma:showField="CatchAllData" ma:web="be6f45aa-c6e1-4250-8d7b-d5323b2ce9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a5335c-9df0-44a6-992e-6f23f6f7b5b9">
      <Terms xmlns="http://schemas.microsoft.com/office/infopath/2007/PartnerControls"/>
    </lcf76f155ced4ddcb4097134ff3c332f>
    <TaxCatchAll xmlns="be6f45aa-c6e1-4250-8d7b-d5323b2ce957" xsi:nil="true"/>
    <SharedWithUsers xmlns="be6f45aa-c6e1-4250-8d7b-d5323b2ce957">
      <UserInfo>
        <DisplayName>Emily Anderson</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72133-1DDC-4EAA-A37E-305D53B10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5335c-9df0-44a6-992e-6f23f6f7b5b9"/>
    <ds:schemaRef ds:uri="be6f45aa-c6e1-4250-8d7b-d5323b2ce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5D966-6B70-457D-A21A-EEEBA5E10CB0}">
  <ds:schemaRefs>
    <ds:schemaRef ds:uri="http://schemas.openxmlformats.org/officeDocument/2006/bibliography"/>
  </ds:schemaRefs>
</ds:datastoreItem>
</file>

<file path=customXml/itemProps3.xml><?xml version="1.0" encoding="utf-8"?>
<ds:datastoreItem xmlns:ds="http://schemas.openxmlformats.org/officeDocument/2006/customXml" ds:itemID="{C0449318-624F-47A8-AB09-2A61963E8D89}">
  <ds:schemaRefs>
    <ds:schemaRef ds:uri="http://schemas.microsoft.com/office/2006/metadata/properties"/>
    <ds:schemaRef ds:uri="http://schemas.microsoft.com/office/infopath/2007/PartnerControls"/>
    <ds:schemaRef ds:uri="e8a5335c-9df0-44a6-992e-6f23f6f7b5b9"/>
    <ds:schemaRef ds:uri="be6f45aa-c6e1-4250-8d7b-d5323b2ce957"/>
  </ds:schemaRefs>
</ds:datastoreItem>
</file>

<file path=customXml/itemProps4.xml><?xml version="1.0" encoding="utf-8"?>
<ds:datastoreItem xmlns:ds="http://schemas.openxmlformats.org/officeDocument/2006/customXml" ds:itemID="{D73DA7BE-3C0C-4476-99E9-69D705776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1570</Words>
  <Characters>8952</Characters>
  <Application>Microsoft Office Word</Application>
  <DocSecurity>0</DocSecurity>
  <Lines>74</Lines>
  <Paragraphs>21</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Feist</dc:creator>
  <cp:keywords/>
  <dc:description/>
  <cp:lastModifiedBy>Joshua Feist</cp:lastModifiedBy>
  <cp:revision>105</cp:revision>
  <dcterms:created xsi:type="dcterms:W3CDTF">2023-08-21T18:10:00Z</dcterms:created>
  <dcterms:modified xsi:type="dcterms:W3CDTF">2023-10-18T16:22:00Z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0x01010082FDBAB6B95A824EB235D736BADEEF3B</vt:lpwstr>
  </property>
</Properties>
</file>